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41" w:rsidRPr="00421B77" w:rsidRDefault="00B46241" w:rsidP="00B46241">
      <w:pPr>
        <w:pStyle w:val="Ttulo1"/>
        <w:ind w:firstLine="708"/>
        <w:jc w:val="both"/>
        <w:rPr>
          <w:rFonts w:ascii="Calibri" w:hAnsi="Calibri"/>
          <w:i w:val="0"/>
          <w:color w:val="767171" w:themeColor="background2" w:themeShade="80"/>
          <w:sz w:val="26"/>
          <w:szCs w:val="27"/>
        </w:rPr>
      </w:pPr>
      <w:r w:rsidRPr="00421B77">
        <w:rPr>
          <w:rFonts w:ascii="Calibri" w:hAnsi="Calibri"/>
          <w:i w:val="0"/>
          <w:color w:val="767171" w:themeColor="background2" w:themeShade="80"/>
          <w:sz w:val="26"/>
          <w:szCs w:val="27"/>
        </w:rPr>
        <w:t>León, Guanajuato, a 23 veintitrés de marzo del año 2018 dos mil dieciocho</w:t>
      </w:r>
      <w:r w:rsidRPr="00421B77">
        <w:rPr>
          <w:rFonts w:ascii="Calibri" w:hAnsi="Calibri"/>
          <w:bCs w:val="0"/>
          <w:i w:val="0"/>
          <w:iCs w:val="0"/>
          <w:color w:val="767171" w:themeColor="background2" w:themeShade="80"/>
          <w:sz w:val="26"/>
          <w:szCs w:val="27"/>
        </w:rPr>
        <w:t xml:space="preserve">. . . . . . . . . . . . </w:t>
      </w:r>
      <w:proofErr w:type="gramStart"/>
      <w:r w:rsidRPr="00421B77">
        <w:rPr>
          <w:rFonts w:ascii="Calibri" w:hAnsi="Calibri"/>
          <w:bCs w:val="0"/>
          <w:i w:val="0"/>
          <w:iCs w:val="0"/>
          <w:color w:val="767171" w:themeColor="background2" w:themeShade="80"/>
          <w:sz w:val="26"/>
          <w:szCs w:val="27"/>
        </w:rPr>
        <w:t>. . . .</w:t>
      </w:r>
      <w:proofErr w:type="gramEnd"/>
      <w:r w:rsidRPr="00421B77">
        <w:rPr>
          <w:rFonts w:ascii="Calibri" w:hAnsi="Calibri"/>
          <w:bCs w:val="0"/>
          <w:i w:val="0"/>
          <w:iCs w:val="0"/>
          <w:color w:val="767171" w:themeColor="background2" w:themeShade="80"/>
          <w:sz w:val="26"/>
          <w:szCs w:val="27"/>
        </w:rPr>
        <w:t xml:space="preserve"> .  . . . . . . . . . . . . . . . . . . . . . . . . . . . . . . . . . . . . . . . . . . </w:t>
      </w:r>
    </w:p>
    <w:p w:rsidR="00B46241" w:rsidRPr="00421B77" w:rsidRDefault="00B46241" w:rsidP="00B46241">
      <w:pPr>
        <w:rPr>
          <w:rFonts w:ascii="Calibri" w:hAnsi="Calibri"/>
          <w:color w:val="767171" w:themeColor="background2" w:themeShade="80"/>
          <w:sz w:val="22"/>
          <w:szCs w:val="27"/>
          <w:lang w:val="es-MX"/>
        </w:rPr>
      </w:pPr>
    </w:p>
    <w:p w:rsidR="00B46241" w:rsidRPr="00421B77" w:rsidRDefault="00B46241" w:rsidP="00B46241">
      <w:pPr>
        <w:pStyle w:val="Textoindependiente"/>
        <w:ind w:firstLine="708"/>
        <w:rPr>
          <w:rFonts w:ascii="Calibri" w:hAnsi="Calibri" w:cs="Arial"/>
          <w:color w:val="767171" w:themeColor="background2" w:themeShade="80"/>
          <w:sz w:val="26"/>
          <w:szCs w:val="27"/>
        </w:rPr>
      </w:pPr>
      <w:r w:rsidRPr="00421B77">
        <w:rPr>
          <w:rFonts w:ascii="Calibri" w:hAnsi="Calibri" w:cs="Arial"/>
          <w:b/>
          <w:bCs/>
          <w:i/>
          <w:iCs/>
          <w:color w:val="767171" w:themeColor="background2" w:themeShade="80"/>
          <w:sz w:val="26"/>
          <w:szCs w:val="27"/>
        </w:rPr>
        <w:t xml:space="preserve">V I S T O S </w:t>
      </w:r>
      <w:r w:rsidRPr="00421B77">
        <w:rPr>
          <w:rFonts w:ascii="Calibri" w:hAnsi="Calibri" w:cs="Arial"/>
          <w:bCs/>
          <w:iCs/>
          <w:color w:val="767171" w:themeColor="background2" w:themeShade="80"/>
          <w:sz w:val="26"/>
          <w:szCs w:val="27"/>
        </w:rPr>
        <w:t xml:space="preserve">para dictar sentencia definitiva, </w:t>
      </w:r>
      <w:r w:rsidRPr="00421B77">
        <w:rPr>
          <w:rFonts w:ascii="Calibri" w:hAnsi="Calibri" w:cs="Arial"/>
          <w:color w:val="767171" w:themeColor="background2" w:themeShade="80"/>
          <w:sz w:val="26"/>
          <w:szCs w:val="27"/>
        </w:rPr>
        <w:t xml:space="preserve">los autos del proceso administrativo identificado con el número </w:t>
      </w:r>
      <w:r w:rsidRPr="00421B77">
        <w:rPr>
          <w:rFonts w:ascii="Calibri" w:hAnsi="Calibri" w:cs="Arial"/>
          <w:b/>
          <w:color w:val="767171" w:themeColor="background2" w:themeShade="80"/>
          <w:sz w:val="26"/>
          <w:szCs w:val="27"/>
        </w:rPr>
        <w:t>110</w:t>
      </w:r>
      <w:r w:rsidRPr="00421B77">
        <w:rPr>
          <w:rFonts w:ascii="Calibri" w:hAnsi="Calibri" w:cs="Arial"/>
          <w:b/>
          <w:bCs/>
          <w:iCs/>
          <w:color w:val="767171" w:themeColor="background2" w:themeShade="80"/>
          <w:sz w:val="26"/>
          <w:szCs w:val="27"/>
        </w:rPr>
        <w:t>/2015</w:t>
      </w:r>
      <w:r w:rsidRPr="00421B77">
        <w:rPr>
          <w:rFonts w:ascii="Calibri" w:hAnsi="Calibri" w:cs="Arial"/>
          <w:b/>
          <w:iCs/>
          <w:color w:val="767171" w:themeColor="background2" w:themeShade="80"/>
          <w:sz w:val="26"/>
          <w:szCs w:val="27"/>
        </w:rPr>
        <w:t>-JN</w:t>
      </w:r>
      <w:r w:rsidRPr="00421B77">
        <w:rPr>
          <w:rFonts w:ascii="Calibri" w:hAnsi="Calibri" w:cs="Arial"/>
          <w:color w:val="767171" w:themeColor="background2" w:themeShade="80"/>
          <w:sz w:val="26"/>
          <w:szCs w:val="27"/>
        </w:rPr>
        <w:t xml:space="preserve">, promovido por el ciudadano </w:t>
      </w:r>
      <w:r>
        <w:rPr>
          <w:rFonts w:ascii="Calibri" w:hAnsi="Calibri" w:cs="Arial"/>
          <w:b/>
          <w:color w:val="767171" w:themeColor="background2" w:themeShade="80"/>
          <w:sz w:val="26"/>
          <w:szCs w:val="27"/>
        </w:rPr>
        <w:t>*****</w:t>
      </w:r>
      <w:r w:rsidRPr="00421B77">
        <w:rPr>
          <w:rFonts w:ascii="Calibri" w:hAnsi="Calibri" w:cs="Arial"/>
          <w:color w:val="767171" w:themeColor="background2" w:themeShade="80"/>
          <w:sz w:val="26"/>
          <w:szCs w:val="27"/>
        </w:rPr>
        <w:t xml:space="preserve">; </w:t>
      </w:r>
      <w:proofErr w:type="gramStart"/>
      <w:r w:rsidRPr="00421B77">
        <w:rPr>
          <w:rFonts w:ascii="Calibri" w:hAnsi="Calibri" w:cs="Arial"/>
          <w:color w:val="767171" w:themeColor="background2" w:themeShade="80"/>
          <w:sz w:val="26"/>
          <w:szCs w:val="27"/>
        </w:rPr>
        <w:t>y,. . .</w:t>
      </w:r>
      <w:proofErr w:type="gramEnd"/>
      <w:r w:rsidRPr="00421B77">
        <w:rPr>
          <w:rFonts w:ascii="Calibri" w:hAnsi="Calibri" w:cs="Arial"/>
          <w:color w:val="767171" w:themeColor="background2" w:themeShade="80"/>
          <w:sz w:val="26"/>
          <w:szCs w:val="27"/>
        </w:rPr>
        <w:t xml:space="preserve"> . . . . . . . . . . . . . . . . . . . . . . . . . . . . . . . . . . . . . . . . .</w:t>
      </w:r>
    </w:p>
    <w:p w:rsidR="00B46241" w:rsidRPr="00421B77" w:rsidRDefault="00B46241" w:rsidP="00B46241">
      <w:pPr>
        <w:pStyle w:val="Textoindependiente"/>
        <w:rPr>
          <w:rFonts w:ascii="Calibri" w:hAnsi="Calibri" w:cs="Arial"/>
          <w:color w:val="767171" w:themeColor="background2" w:themeShade="80"/>
          <w:sz w:val="22"/>
          <w:szCs w:val="27"/>
        </w:rPr>
      </w:pPr>
    </w:p>
    <w:p w:rsidR="00B46241" w:rsidRPr="00421B77" w:rsidRDefault="00B46241" w:rsidP="00B46241">
      <w:pPr>
        <w:jc w:val="both"/>
        <w:rPr>
          <w:rFonts w:ascii="Calibri" w:hAnsi="Calibri" w:cs="Arial"/>
          <w:color w:val="767171" w:themeColor="background2" w:themeShade="80"/>
          <w:sz w:val="22"/>
          <w:szCs w:val="27"/>
          <w:lang w:val="es-MX"/>
        </w:rPr>
      </w:pPr>
    </w:p>
    <w:p w:rsidR="00B46241" w:rsidRPr="00421B77" w:rsidRDefault="00B46241" w:rsidP="00B46241">
      <w:pPr>
        <w:pStyle w:val="Textoindependiente"/>
        <w:ind w:firstLine="708"/>
        <w:jc w:val="center"/>
        <w:rPr>
          <w:rFonts w:ascii="Calibri" w:hAnsi="Calibri" w:cs="Arial"/>
          <w:b/>
          <w:bCs/>
          <w:i/>
          <w:iCs/>
          <w:color w:val="767171" w:themeColor="background2" w:themeShade="80"/>
          <w:sz w:val="26"/>
          <w:szCs w:val="27"/>
        </w:rPr>
      </w:pPr>
      <w:r w:rsidRPr="00421B77">
        <w:rPr>
          <w:rFonts w:ascii="Calibri" w:hAnsi="Calibri" w:cs="Arial"/>
          <w:b/>
          <w:bCs/>
          <w:i/>
          <w:iCs/>
          <w:color w:val="767171" w:themeColor="background2" w:themeShade="80"/>
          <w:sz w:val="26"/>
          <w:szCs w:val="27"/>
        </w:rPr>
        <w:t xml:space="preserve">C O N S I D E R A N D </w:t>
      </w:r>
      <w:proofErr w:type="gramStart"/>
      <w:r w:rsidRPr="00421B77">
        <w:rPr>
          <w:rFonts w:ascii="Calibri" w:hAnsi="Calibri" w:cs="Arial"/>
          <w:b/>
          <w:bCs/>
          <w:i/>
          <w:iCs/>
          <w:color w:val="767171" w:themeColor="background2" w:themeShade="80"/>
          <w:sz w:val="26"/>
          <w:szCs w:val="27"/>
        </w:rPr>
        <w:t>O :</w:t>
      </w:r>
      <w:proofErr w:type="gramEnd"/>
    </w:p>
    <w:p w:rsidR="00B46241" w:rsidRPr="00421B77" w:rsidRDefault="00B46241" w:rsidP="00B46241">
      <w:pPr>
        <w:pStyle w:val="Textoindependiente"/>
        <w:rPr>
          <w:rFonts w:ascii="Calibri" w:hAnsi="Calibri" w:cs="Arial"/>
          <w:b/>
          <w:bCs/>
          <w:iCs/>
          <w:color w:val="767171" w:themeColor="background2" w:themeShade="80"/>
          <w:sz w:val="26"/>
          <w:szCs w:val="27"/>
        </w:rPr>
      </w:pPr>
    </w:p>
    <w:p w:rsidR="00B46241" w:rsidRPr="00421B77" w:rsidRDefault="00B46241" w:rsidP="00B46241">
      <w:pPr>
        <w:pStyle w:val="Textoindependiente"/>
        <w:jc w:val="right"/>
        <w:rPr>
          <w:rFonts w:ascii="Calibri" w:hAnsi="Calibri" w:cs="Arial"/>
          <w:b/>
          <w:bCs/>
          <w:color w:val="767171" w:themeColor="background2" w:themeShade="80"/>
          <w:sz w:val="26"/>
          <w:szCs w:val="27"/>
        </w:rPr>
      </w:pPr>
    </w:p>
    <w:p w:rsidR="00B46241" w:rsidRPr="00421B77" w:rsidRDefault="00B46241" w:rsidP="00B46241">
      <w:pPr>
        <w:pStyle w:val="Textoindependiente"/>
        <w:ind w:firstLine="708"/>
        <w:rPr>
          <w:rFonts w:ascii="Calibri" w:hAnsi="Calibri" w:cs="Arial"/>
          <w:color w:val="767171" w:themeColor="background2" w:themeShade="80"/>
          <w:sz w:val="26"/>
          <w:szCs w:val="27"/>
        </w:rPr>
      </w:pPr>
      <w:proofErr w:type="gramStart"/>
      <w:r w:rsidRPr="00421B77">
        <w:rPr>
          <w:rFonts w:ascii="Calibri" w:hAnsi="Calibri" w:cs="Arial"/>
          <w:b/>
          <w:bCs/>
          <w:i/>
          <w:iCs/>
          <w:color w:val="767171" w:themeColor="background2" w:themeShade="80"/>
          <w:sz w:val="26"/>
          <w:szCs w:val="27"/>
        </w:rPr>
        <w:t>SEGUNDO</w:t>
      </w:r>
      <w:r w:rsidRPr="00421B77">
        <w:rPr>
          <w:rFonts w:ascii="Calibri" w:hAnsi="Calibri" w:cs="Arial"/>
          <w:b/>
          <w:bCs/>
          <w:color w:val="767171" w:themeColor="background2" w:themeShade="80"/>
          <w:sz w:val="26"/>
          <w:szCs w:val="27"/>
        </w:rPr>
        <w:t>.-</w:t>
      </w:r>
      <w:proofErr w:type="gramEnd"/>
      <w:r w:rsidRPr="00421B77">
        <w:rPr>
          <w:rFonts w:ascii="Calibri" w:hAnsi="Calibri" w:cs="Arial"/>
          <w:b/>
          <w:bCs/>
          <w:color w:val="767171" w:themeColor="background2" w:themeShade="80"/>
          <w:sz w:val="26"/>
          <w:szCs w:val="27"/>
        </w:rPr>
        <w:t xml:space="preserve"> </w:t>
      </w:r>
      <w:r w:rsidRPr="00421B77">
        <w:rPr>
          <w:rFonts w:ascii="Calibri" w:hAnsi="Calibri" w:cs="Arial"/>
          <w:color w:val="767171" w:themeColor="background2" w:themeShade="80"/>
          <w:sz w:val="26"/>
          <w:szCs w:val="27"/>
        </w:rPr>
        <w:t xml:space="preserve">El presente proceso fue promovido oportunamente, toda vez que la demanda fue presentada dentro de los 30 treinta días hábiles siguientes a </w:t>
      </w:r>
    </w:p>
    <w:p w:rsidR="00B46241" w:rsidRPr="00421B77" w:rsidRDefault="00B46241" w:rsidP="00B46241">
      <w:pPr>
        <w:pStyle w:val="Textoindependiente"/>
        <w:ind w:firstLine="708"/>
        <w:rPr>
          <w:rFonts w:ascii="Calibri" w:hAnsi="Calibri" w:cs="Arial"/>
          <w:color w:val="767171" w:themeColor="background2" w:themeShade="80"/>
          <w:sz w:val="26"/>
          <w:szCs w:val="27"/>
        </w:rPr>
      </w:pPr>
    </w:p>
    <w:p w:rsidR="00B46241" w:rsidRPr="00421B77" w:rsidRDefault="00B46241" w:rsidP="00B46241">
      <w:pPr>
        <w:ind w:firstLine="708"/>
        <w:jc w:val="right"/>
        <w:rPr>
          <w:rFonts w:ascii="Calibri" w:hAnsi="Calibri"/>
          <w:b/>
          <w:iCs/>
          <w:color w:val="767171" w:themeColor="background2" w:themeShade="80"/>
          <w:sz w:val="26"/>
          <w:szCs w:val="27"/>
        </w:rPr>
      </w:pPr>
      <w:r w:rsidRPr="00421B77">
        <w:rPr>
          <w:rFonts w:ascii="Calibri" w:hAnsi="Calibri"/>
          <w:b/>
          <w:iCs/>
          <w:color w:val="767171" w:themeColor="background2" w:themeShade="80"/>
          <w:sz w:val="26"/>
          <w:szCs w:val="27"/>
        </w:rPr>
        <w:t xml:space="preserve">Expediente número 110/2015-JN </w:t>
      </w:r>
    </w:p>
    <w:p w:rsidR="00B46241" w:rsidRPr="00421B77" w:rsidRDefault="00B46241" w:rsidP="00B46241">
      <w:pPr>
        <w:pStyle w:val="Textoindependiente"/>
        <w:ind w:firstLine="708"/>
        <w:rPr>
          <w:rFonts w:ascii="Calibri" w:hAnsi="Calibri" w:cs="Arial"/>
          <w:color w:val="767171" w:themeColor="background2" w:themeShade="80"/>
          <w:sz w:val="26"/>
          <w:szCs w:val="27"/>
        </w:rPr>
      </w:pPr>
    </w:p>
    <w:p w:rsidR="00B46241" w:rsidRPr="00421B77" w:rsidRDefault="00B46241" w:rsidP="00B46241">
      <w:pPr>
        <w:pStyle w:val="Textoindependiente"/>
        <w:rPr>
          <w:rFonts w:ascii="Calibri" w:hAnsi="Calibri" w:cs="Arial"/>
          <w:color w:val="767171" w:themeColor="background2" w:themeShade="80"/>
          <w:sz w:val="26"/>
          <w:szCs w:val="27"/>
        </w:rPr>
      </w:pPr>
      <w:r w:rsidRPr="00421B77">
        <w:rPr>
          <w:rFonts w:ascii="Calibri" w:hAnsi="Calibri" w:cs="Arial"/>
          <w:color w:val="767171" w:themeColor="background2" w:themeShade="80"/>
          <w:sz w:val="26"/>
          <w:szCs w:val="27"/>
        </w:rPr>
        <w:t>aquél en que la parte actora se ostenta conocedora de los actos que impugna, lo que fue el día 11 once de diciembre del año 2014 dos mil catorce</w:t>
      </w:r>
      <w:r w:rsidRPr="00421B77">
        <w:rPr>
          <w:rFonts w:ascii="Calibri" w:hAnsi="Calibri"/>
          <w:color w:val="767171" w:themeColor="background2" w:themeShade="80"/>
          <w:sz w:val="26"/>
          <w:szCs w:val="27"/>
        </w:rPr>
        <w:t xml:space="preserve"> . . . . . . . . . </w:t>
      </w:r>
      <w:proofErr w:type="gramStart"/>
      <w:r w:rsidRPr="00421B77">
        <w:rPr>
          <w:rFonts w:ascii="Calibri" w:hAnsi="Calibri"/>
          <w:color w:val="767171" w:themeColor="background2" w:themeShade="80"/>
          <w:sz w:val="26"/>
          <w:szCs w:val="27"/>
        </w:rPr>
        <w:t>. . . .</w:t>
      </w:r>
      <w:proofErr w:type="gramEnd"/>
      <w:r w:rsidRPr="00421B77">
        <w:rPr>
          <w:rFonts w:ascii="Calibri" w:hAnsi="Calibri"/>
          <w:color w:val="767171" w:themeColor="background2" w:themeShade="80"/>
          <w:sz w:val="26"/>
          <w:szCs w:val="27"/>
        </w:rPr>
        <w:t xml:space="preserve"> . </w:t>
      </w:r>
    </w:p>
    <w:p w:rsidR="00B46241" w:rsidRPr="00421B77" w:rsidRDefault="00B46241" w:rsidP="00B46241">
      <w:pPr>
        <w:jc w:val="both"/>
        <w:rPr>
          <w:rFonts w:ascii="Calibri" w:hAnsi="Calibri"/>
          <w:b/>
          <w:i/>
          <w:iCs/>
          <w:color w:val="767171" w:themeColor="background2" w:themeShade="80"/>
          <w:sz w:val="26"/>
          <w:szCs w:val="27"/>
        </w:rPr>
      </w:pPr>
    </w:p>
    <w:p w:rsidR="00B46241" w:rsidRPr="00421B77" w:rsidRDefault="00B46241" w:rsidP="00B46241">
      <w:pPr>
        <w:ind w:firstLine="708"/>
        <w:jc w:val="both"/>
        <w:rPr>
          <w:rFonts w:ascii="Calibri" w:hAnsi="Calibri"/>
          <w:b/>
          <w:bCs/>
          <w:color w:val="767171" w:themeColor="background2" w:themeShade="80"/>
          <w:sz w:val="26"/>
          <w:szCs w:val="27"/>
        </w:rPr>
      </w:pPr>
      <w:r w:rsidRPr="00421B77">
        <w:rPr>
          <w:rFonts w:ascii="Calibri" w:hAnsi="Calibri"/>
          <w:b/>
          <w:i/>
          <w:iCs/>
          <w:color w:val="767171" w:themeColor="background2" w:themeShade="80"/>
          <w:sz w:val="26"/>
          <w:szCs w:val="27"/>
        </w:rPr>
        <w:t xml:space="preserve">TERCERO.- </w:t>
      </w:r>
      <w:r w:rsidRPr="00421B77">
        <w:rPr>
          <w:rFonts w:ascii="Calibri" w:hAnsi="Calibri"/>
          <w:color w:val="767171" w:themeColor="background2" w:themeShade="80"/>
          <w:sz w:val="26"/>
          <w:szCs w:val="27"/>
        </w:rPr>
        <w:t>La existencia del acto impugnado en la presente causa administrativa, se encuentra acreditada en autos con la propia resolución impugnada,</w:t>
      </w:r>
      <w:r w:rsidRPr="00421B77">
        <w:rPr>
          <w:rFonts w:ascii="Calibri" w:hAnsi="Calibri"/>
          <w:bCs/>
          <w:color w:val="767171" w:themeColor="background2" w:themeShade="80"/>
          <w:sz w:val="26"/>
          <w:szCs w:val="27"/>
        </w:rPr>
        <w:t xml:space="preserve"> emitida en fecha 19 diecinueve de septiembre del año 2014 dos mil catorce, identificado con el número de crédito 3803050001016, por el cual se determinó el crédito fiscal por la cantidad de $11,437.34 (Once mil cuatrocientos treinta y siete pesos 34/100 Moneda Nacional), por concepto de contribución por ejecución de obras públicas que beneficiaron al inmueble ubicado en calle </w:t>
      </w:r>
      <w:r>
        <w:rPr>
          <w:rFonts w:ascii="Calibri" w:hAnsi="Calibri"/>
          <w:bCs/>
          <w:color w:val="767171" w:themeColor="background2" w:themeShade="80"/>
          <w:sz w:val="26"/>
          <w:szCs w:val="27"/>
        </w:rPr>
        <w:t>*****</w:t>
      </w:r>
      <w:r w:rsidRPr="00421B77">
        <w:rPr>
          <w:rFonts w:ascii="Calibri" w:hAnsi="Calibri"/>
          <w:bCs/>
          <w:color w:val="767171" w:themeColor="background2" w:themeShade="80"/>
          <w:sz w:val="26"/>
          <w:szCs w:val="27"/>
        </w:rPr>
        <w:t xml:space="preserve">de esta ciudad y con el procedimiento realizado para determinar la contribución por ejecución de obras públicas; documentos </w:t>
      </w:r>
      <w:r w:rsidRPr="00421B77">
        <w:rPr>
          <w:rFonts w:ascii="Calibri" w:hAnsi="Calibri"/>
          <w:color w:val="767171" w:themeColor="background2" w:themeShade="80"/>
          <w:sz w:val="26"/>
          <w:szCs w:val="27"/>
        </w:rPr>
        <w:t xml:space="preserve">que obran –la determinación de la contribución- en copia al carbón en el secreto de este juzgado (visible, en copia certificada, a fojas 13 trece a 14 catorce; y, los actos del procedimiento, palpables en copias certificadas, a fojas 58 cincuenta y ocho a 73 setenta y tres del expediente); estas últimas aportadas por la Directora de Fideicomiso de Obras por Cooperación, relativas al procedimiento realizado para realizar la obra pública por cooperación de la pavimentación de la calle </w:t>
      </w:r>
      <w:r w:rsidRPr="00AE7E92">
        <w:rPr>
          <w:rFonts w:ascii="Calibri" w:hAnsi="Calibri"/>
          <w:color w:val="767171" w:themeColor="background2" w:themeShade="80"/>
          <w:sz w:val="26"/>
          <w:szCs w:val="27"/>
        </w:rPr>
        <w:t>*****</w:t>
      </w:r>
      <w:r w:rsidRPr="00421B77">
        <w:rPr>
          <w:rFonts w:ascii="Calibri" w:hAnsi="Calibri"/>
          <w:color w:val="767171" w:themeColor="background2" w:themeShade="80"/>
          <w:sz w:val="26"/>
          <w:szCs w:val="27"/>
        </w:rPr>
        <w:t xml:space="preserve">de esta ciudad, entre los bulevares Miguel de Cervantes Saavedra y Mariano Escobedo de esta ciudad. . . . . . . . . . . . . . . . . . . . . . . . . . . . . . . . . . . . . . . . . </w:t>
      </w:r>
    </w:p>
    <w:p w:rsidR="00B46241" w:rsidRPr="00421B77" w:rsidRDefault="00B46241" w:rsidP="00B46241">
      <w:pPr>
        <w:ind w:firstLine="708"/>
        <w:jc w:val="both"/>
        <w:rPr>
          <w:rFonts w:ascii="Calibri" w:hAnsi="Calibri"/>
          <w:color w:val="767171" w:themeColor="background2" w:themeShade="80"/>
          <w:sz w:val="26"/>
          <w:szCs w:val="27"/>
        </w:rPr>
      </w:pPr>
    </w:p>
    <w:p w:rsidR="00B46241" w:rsidRPr="00421B77" w:rsidRDefault="00B46241" w:rsidP="00B46241">
      <w:pPr>
        <w:ind w:firstLine="708"/>
        <w:jc w:val="both"/>
        <w:rPr>
          <w:rFonts w:ascii="Calibri" w:hAnsi="Calibri"/>
          <w:color w:val="767171" w:themeColor="background2" w:themeShade="80"/>
          <w:sz w:val="26"/>
          <w:szCs w:val="27"/>
        </w:rPr>
      </w:pPr>
      <w:r w:rsidRPr="00421B77">
        <w:rPr>
          <w:rFonts w:ascii="Calibri" w:hAnsi="Calibri"/>
          <w:color w:val="767171" w:themeColor="background2" w:themeShade="80"/>
          <w:sz w:val="26"/>
          <w:szCs w:val="27"/>
        </w:rPr>
        <w:t xml:space="preserve">Probanzas que fueron admitidas como pruebas a ambas partes, y merecen pleno valor probatorio, </w:t>
      </w:r>
      <w:r w:rsidRPr="00421B77">
        <w:rPr>
          <w:rFonts w:ascii="Calibri" w:hAnsi="Calibri" w:cs="Arial"/>
          <w:color w:val="767171" w:themeColor="background2" w:themeShade="80"/>
          <w:sz w:val="26"/>
          <w:szCs w:val="27"/>
        </w:rPr>
        <w:t xml:space="preserve">conforme a lo dispuesto en los artículos </w:t>
      </w:r>
      <w:r w:rsidRPr="00421B77">
        <w:rPr>
          <w:rFonts w:ascii="Calibri" w:hAnsi="Calibri"/>
          <w:color w:val="767171" w:themeColor="background2" w:themeShade="80"/>
          <w:sz w:val="26"/>
          <w:szCs w:val="27"/>
        </w:rPr>
        <w:t xml:space="preserve">78, 117, 121 y 131 del Código de Procedimiento y Justicia Administrativa para el Estado y los Municipios de Guanajuato; toda vez que se trata de documentos públicos emitidos por servidores públicos en el ejercicio de sus atribuciones, aunada la </w:t>
      </w:r>
      <w:r w:rsidRPr="00421B77">
        <w:rPr>
          <w:rFonts w:ascii="Calibri" w:hAnsi="Calibri"/>
          <w:color w:val="767171" w:themeColor="background2" w:themeShade="80"/>
          <w:sz w:val="26"/>
          <w:szCs w:val="27"/>
        </w:rPr>
        <w:lastRenderedPageBreak/>
        <w:t>circunstancia de que las enjuiciadas, al contestar la demanda y referirse a los hechos, aceptaron la existencia de los actos impugnados</w:t>
      </w:r>
      <w:r w:rsidRPr="00421B77">
        <w:rPr>
          <w:rFonts w:ascii="Calibri" w:hAnsi="Calibri"/>
          <w:color w:val="767171" w:themeColor="background2" w:themeShade="80"/>
          <w:sz w:val="26"/>
          <w:szCs w:val="26"/>
        </w:rPr>
        <w:t xml:space="preserve">. . . . . . . . . . . . . . . . . . . . . </w:t>
      </w:r>
    </w:p>
    <w:p w:rsidR="00B46241" w:rsidRPr="00421B77" w:rsidRDefault="00B46241" w:rsidP="00B46241">
      <w:pPr>
        <w:jc w:val="both"/>
        <w:rPr>
          <w:rFonts w:ascii="Calibri" w:hAnsi="Calibri" w:cs="Arial"/>
          <w:b/>
          <w:bCs/>
          <w:color w:val="767171" w:themeColor="background2" w:themeShade="80"/>
          <w:sz w:val="22"/>
          <w:szCs w:val="27"/>
        </w:rPr>
      </w:pPr>
    </w:p>
    <w:p w:rsidR="00B46241" w:rsidRPr="00421B77" w:rsidRDefault="00B46241" w:rsidP="00B46241">
      <w:pPr>
        <w:ind w:firstLine="708"/>
        <w:jc w:val="both"/>
        <w:rPr>
          <w:rFonts w:ascii="Calibri" w:hAnsi="Calibri"/>
          <w:bCs/>
          <w:iCs/>
          <w:color w:val="767171" w:themeColor="background2" w:themeShade="80"/>
          <w:sz w:val="26"/>
          <w:szCs w:val="26"/>
          <w:lang w:val="es-MX"/>
        </w:rPr>
      </w:pPr>
      <w:proofErr w:type="gramStart"/>
      <w:r w:rsidRPr="00421B77">
        <w:rPr>
          <w:rFonts w:ascii="Calibri" w:hAnsi="Calibri"/>
          <w:b/>
          <w:bCs/>
          <w:i/>
          <w:iCs/>
          <w:color w:val="767171" w:themeColor="background2" w:themeShade="80"/>
          <w:sz w:val="26"/>
          <w:szCs w:val="27"/>
        </w:rPr>
        <w:t>CUARTO.-</w:t>
      </w:r>
      <w:proofErr w:type="gramEnd"/>
      <w:r w:rsidRPr="00421B77">
        <w:rPr>
          <w:rFonts w:ascii="Calibri" w:hAnsi="Calibri"/>
          <w:b/>
          <w:bCs/>
          <w:i/>
          <w:iCs/>
          <w:color w:val="767171" w:themeColor="background2" w:themeShade="80"/>
          <w:sz w:val="26"/>
          <w:szCs w:val="27"/>
        </w:rPr>
        <w:t xml:space="preserve"> </w:t>
      </w:r>
      <w:r w:rsidRPr="00421B77">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46241" w:rsidRPr="00421B77" w:rsidRDefault="00B46241" w:rsidP="00B46241">
      <w:pPr>
        <w:jc w:val="both"/>
        <w:rPr>
          <w:rFonts w:ascii="Calibri" w:hAnsi="Calibri"/>
          <w:bCs/>
          <w:iCs/>
          <w:color w:val="767171" w:themeColor="background2" w:themeShade="80"/>
          <w:sz w:val="26"/>
          <w:szCs w:val="26"/>
        </w:rPr>
      </w:pPr>
    </w:p>
    <w:p w:rsidR="00B46241" w:rsidRPr="00421B77" w:rsidRDefault="00B46241" w:rsidP="00B46241">
      <w:pPr>
        <w:ind w:firstLine="708"/>
        <w:jc w:val="both"/>
        <w:rPr>
          <w:rFonts w:ascii="Calibri" w:hAnsi="Calibri"/>
          <w:bCs/>
          <w:iCs/>
          <w:color w:val="767171" w:themeColor="background2" w:themeShade="80"/>
          <w:sz w:val="26"/>
          <w:szCs w:val="26"/>
        </w:rPr>
      </w:pPr>
      <w:r w:rsidRPr="00421B77">
        <w:rPr>
          <w:rFonts w:ascii="Calibri" w:hAnsi="Calibri"/>
          <w:bCs/>
          <w:iCs/>
          <w:color w:val="767171" w:themeColor="background2" w:themeShade="80"/>
          <w:sz w:val="26"/>
          <w:szCs w:val="26"/>
        </w:rPr>
        <w:t xml:space="preserve">Así pues, la autoridad demandada Directora del Fideicomiso de Obras por cooperación, planteó las causales de </w:t>
      </w:r>
      <w:proofErr w:type="gramStart"/>
      <w:r w:rsidRPr="00421B77">
        <w:rPr>
          <w:rFonts w:ascii="Calibri" w:hAnsi="Calibri"/>
          <w:bCs/>
          <w:iCs/>
          <w:color w:val="767171" w:themeColor="background2" w:themeShade="80"/>
          <w:sz w:val="26"/>
          <w:szCs w:val="26"/>
        </w:rPr>
        <w:t>improcedencia  previstas</w:t>
      </w:r>
      <w:proofErr w:type="gramEnd"/>
      <w:r w:rsidRPr="00421B77">
        <w:rPr>
          <w:rFonts w:ascii="Calibri" w:hAnsi="Calibri"/>
          <w:bCs/>
          <w:iCs/>
          <w:color w:val="767171" w:themeColor="background2" w:themeShade="80"/>
          <w:sz w:val="26"/>
          <w:szCs w:val="26"/>
        </w:rPr>
        <w:t xml:space="preserve"> en las fracciones I y VI, del artículo 261 del Código de Procedimiento y Justicia Administrativa para el Estado y los Municipios de Guanajuato, relativas a que no se afecta interés jurídico alguno de la actora, toda vez que la determinación del crédito se emitió con absoluta legalidad; así como que no existe acto susceptible de impugnar. . . . </w:t>
      </w:r>
    </w:p>
    <w:p w:rsidR="00B46241" w:rsidRPr="00421B77" w:rsidRDefault="00B46241" w:rsidP="00B46241">
      <w:pPr>
        <w:ind w:firstLine="708"/>
        <w:jc w:val="both"/>
        <w:rPr>
          <w:rFonts w:ascii="Calibri" w:hAnsi="Calibri"/>
          <w:bCs/>
          <w:iCs/>
          <w:color w:val="767171" w:themeColor="background2" w:themeShade="80"/>
          <w:sz w:val="26"/>
          <w:szCs w:val="26"/>
        </w:rPr>
      </w:pPr>
    </w:p>
    <w:p w:rsidR="00B46241" w:rsidRPr="00421B77" w:rsidRDefault="00B46241" w:rsidP="00B46241">
      <w:pPr>
        <w:ind w:firstLine="708"/>
        <w:jc w:val="both"/>
        <w:rPr>
          <w:rFonts w:ascii="Calibri" w:hAnsi="Calibri" w:cs="Arial"/>
          <w:color w:val="767171" w:themeColor="background2" w:themeShade="80"/>
          <w:sz w:val="26"/>
          <w:szCs w:val="26"/>
        </w:rPr>
      </w:pPr>
      <w:r w:rsidRPr="00421B77">
        <w:rPr>
          <w:rFonts w:ascii="Calibri" w:hAnsi="Calibri"/>
          <w:bCs/>
          <w:iCs/>
          <w:color w:val="767171" w:themeColor="background2" w:themeShade="80"/>
          <w:sz w:val="26"/>
          <w:szCs w:val="26"/>
        </w:rPr>
        <w:t xml:space="preserve">Para quien resuelve, en el presente asunto </w:t>
      </w:r>
      <w:r w:rsidRPr="00421B77">
        <w:rPr>
          <w:rFonts w:ascii="Calibri" w:hAnsi="Calibri"/>
          <w:b/>
          <w:bCs/>
          <w:iCs/>
          <w:color w:val="767171" w:themeColor="background2" w:themeShade="80"/>
          <w:sz w:val="26"/>
          <w:szCs w:val="26"/>
        </w:rPr>
        <w:t xml:space="preserve">no </w:t>
      </w:r>
      <w:r w:rsidRPr="00421B77">
        <w:rPr>
          <w:rFonts w:ascii="Calibri" w:hAnsi="Calibri" w:cs="Arial"/>
          <w:b/>
          <w:bCs/>
          <w:color w:val="767171" w:themeColor="background2" w:themeShade="80"/>
          <w:sz w:val="26"/>
          <w:szCs w:val="26"/>
        </w:rPr>
        <w:t xml:space="preserve">se actualiza </w:t>
      </w:r>
      <w:r w:rsidRPr="00421B77">
        <w:rPr>
          <w:rFonts w:ascii="Calibri" w:hAnsi="Calibri" w:cs="Arial"/>
          <w:color w:val="767171" w:themeColor="background2" w:themeShade="80"/>
          <w:sz w:val="26"/>
          <w:szCs w:val="26"/>
        </w:rPr>
        <w:t xml:space="preserve">la primera causal  de improcedencia señalada; en razón de que la determinación del crédito fiscal fue dirigida al ciudadano </w:t>
      </w:r>
      <w:r>
        <w:rPr>
          <w:rFonts w:ascii="Calibri" w:hAnsi="Calibri" w:cs="Arial"/>
          <w:color w:val="767171" w:themeColor="background2" w:themeShade="80"/>
          <w:sz w:val="26"/>
          <w:szCs w:val="26"/>
        </w:rPr>
        <w:t>*****</w:t>
      </w:r>
      <w:r w:rsidRPr="00421B77">
        <w:rPr>
          <w:rFonts w:ascii="Calibri" w:hAnsi="Calibri" w:cs="Arial"/>
          <w:color w:val="767171" w:themeColor="background2" w:themeShade="80"/>
          <w:sz w:val="26"/>
          <w:szCs w:val="26"/>
        </w:rPr>
        <w:t xml:space="preserve">, en la que se le fijó por concepto de contribución especial por la ejecución de una obra pública, la cantidad de $11,437.34 (Once mil cuatrocientos treinta y siete pesos 34/100 Moneda Nacional); por lo que no existe duda alguna de que se afectan con tal determinación sus intereses jurídicos, y evidentemente, sí cuenta con interés jurídico, al verse afectado en sus bienes por los actos reclamados, que sí inciden en su esfera de derechos. . . . . . . . . . . . . . . . . . . . . . . . . . . . . . . . . . . . . . . . . . . . . . . .  </w:t>
      </w:r>
    </w:p>
    <w:p w:rsidR="00B46241" w:rsidRPr="00421B77" w:rsidRDefault="00B46241" w:rsidP="00B46241">
      <w:pPr>
        <w:ind w:firstLine="708"/>
        <w:jc w:val="both"/>
        <w:rPr>
          <w:rFonts w:ascii="Calibri" w:hAnsi="Calibri" w:cs="Arial"/>
          <w:color w:val="767171" w:themeColor="background2" w:themeShade="80"/>
          <w:sz w:val="26"/>
          <w:szCs w:val="26"/>
        </w:rPr>
      </w:pPr>
    </w:p>
    <w:p w:rsidR="00B46241" w:rsidRPr="00421B77" w:rsidRDefault="00B46241" w:rsidP="00B46241">
      <w:pPr>
        <w:ind w:firstLine="708"/>
        <w:jc w:val="both"/>
        <w:rPr>
          <w:rFonts w:ascii="Calibri" w:hAnsi="Calibri" w:cs="Arial"/>
          <w:color w:val="767171" w:themeColor="background2" w:themeShade="80"/>
          <w:sz w:val="26"/>
          <w:szCs w:val="26"/>
        </w:rPr>
      </w:pPr>
      <w:r w:rsidRPr="00421B77">
        <w:rPr>
          <w:rFonts w:ascii="Calibri" w:hAnsi="Calibri" w:cs="Arial"/>
          <w:color w:val="767171" w:themeColor="background2" w:themeShade="80"/>
          <w:sz w:val="26"/>
          <w:szCs w:val="26"/>
        </w:rPr>
        <w:t xml:space="preserve">Ahora bien, respecto de la segunda causal de improcedencia anotada, respecto de la Directora del fideicomiso demandado, no se actualiza, pues es evidente, como se ha señalado en el tercer considerando de esta misma resolución, que sí existe la determinación del crédito fiscal, respecto del inmueble marcado con el número 2722 dos mil setecientos veintidós de </w:t>
      </w:r>
      <w:r w:rsidRPr="00421B77">
        <w:rPr>
          <w:rFonts w:ascii="Calibri" w:hAnsi="Calibri"/>
          <w:color w:val="767171" w:themeColor="background2" w:themeShade="80"/>
          <w:sz w:val="26"/>
          <w:szCs w:val="27"/>
        </w:rPr>
        <w:t xml:space="preserve">la calle </w:t>
      </w:r>
      <w:r>
        <w:rPr>
          <w:rFonts w:ascii="Calibri" w:hAnsi="Calibri"/>
          <w:color w:val="767171" w:themeColor="background2" w:themeShade="80"/>
          <w:sz w:val="26"/>
          <w:szCs w:val="27"/>
        </w:rPr>
        <w:t>*****</w:t>
      </w:r>
      <w:r w:rsidRPr="00421B77">
        <w:rPr>
          <w:rFonts w:ascii="Calibri" w:hAnsi="Calibri"/>
          <w:color w:val="767171" w:themeColor="background2" w:themeShade="80"/>
          <w:sz w:val="26"/>
          <w:szCs w:val="27"/>
        </w:rPr>
        <w:t>de esta ciudad</w:t>
      </w:r>
      <w:r w:rsidRPr="00421B77">
        <w:rPr>
          <w:rFonts w:ascii="Calibri" w:hAnsi="Calibri" w:cs="Arial"/>
          <w:color w:val="767171" w:themeColor="background2" w:themeShade="80"/>
          <w:sz w:val="26"/>
          <w:szCs w:val="26"/>
        </w:rPr>
        <w:t xml:space="preserve">. . . . . . . . . . . . . . . . . . . . . . . . </w:t>
      </w:r>
      <w:proofErr w:type="gramStart"/>
      <w:r w:rsidRPr="00421B77">
        <w:rPr>
          <w:rFonts w:ascii="Calibri" w:hAnsi="Calibri" w:cs="Arial"/>
          <w:color w:val="767171" w:themeColor="background2" w:themeShade="80"/>
          <w:sz w:val="26"/>
          <w:szCs w:val="26"/>
        </w:rPr>
        <w:t>. . . .</w:t>
      </w:r>
      <w:proofErr w:type="gramEnd"/>
      <w:r w:rsidRPr="00421B77">
        <w:rPr>
          <w:rFonts w:ascii="Calibri" w:hAnsi="Calibri" w:cs="Arial"/>
          <w:color w:val="767171" w:themeColor="background2" w:themeShade="80"/>
          <w:sz w:val="26"/>
          <w:szCs w:val="26"/>
        </w:rPr>
        <w:t xml:space="preserve"> . </w:t>
      </w:r>
    </w:p>
    <w:p w:rsidR="00B46241" w:rsidRPr="00421B77" w:rsidRDefault="00B46241" w:rsidP="00B46241">
      <w:pPr>
        <w:rPr>
          <w:rFonts w:ascii="Calibri" w:hAnsi="Calibri" w:cs="Arial"/>
          <w:b/>
          <w:color w:val="767171" w:themeColor="background2" w:themeShade="80"/>
          <w:sz w:val="26"/>
          <w:szCs w:val="26"/>
        </w:rPr>
      </w:pPr>
    </w:p>
    <w:p w:rsidR="00B46241" w:rsidRPr="00421B77" w:rsidRDefault="00B46241" w:rsidP="00B46241">
      <w:pPr>
        <w:ind w:firstLine="708"/>
        <w:jc w:val="both"/>
        <w:rPr>
          <w:rFonts w:ascii="Calibri" w:hAnsi="Calibri" w:cs="Arial"/>
          <w:color w:val="767171" w:themeColor="background2" w:themeShade="80"/>
          <w:sz w:val="26"/>
          <w:szCs w:val="26"/>
        </w:rPr>
      </w:pPr>
      <w:r w:rsidRPr="00421B77">
        <w:rPr>
          <w:rFonts w:ascii="Calibri" w:hAnsi="Calibri" w:cs="Arial"/>
          <w:color w:val="767171" w:themeColor="background2" w:themeShade="80"/>
          <w:sz w:val="26"/>
          <w:szCs w:val="26"/>
        </w:rPr>
        <w:t xml:space="preserve">No obstante lo anterior, este Juzgador, de oficio, estima que, respecto de la autoridad demandada Tesorería Municipal, </w:t>
      </w:r>
      <w:r w:rsidRPr="00421B77">
        <w:rPr>
          <w:rFonts w:ascii="Calibri" w:hAnsi="Calibri" w:cs="Arial"/>
          <w:b/>
          <w:color w:val="767171" w:themeColor="background2" w:themeShade="80"/>
          <w:sz w:val="26"/>
          <w:szCs w:val="26"/>
        </w:rPr>
        <w:t>sí se actualiza</w:t>
      </w:r>
      <w:r w:rsidRPr="00421B77">
        <w:rPr>
          <w:rFonts w:ascii="Calibri" w:hAnsi="Calibri" w:cs="Arial"/>
          <w:color w:val="767171" w:themeColor="background2" w:themeShade="80"/>
          <w:sz w:val="26"/>
          <w:szCs w:val="26"/>
        </w:rPr>
        <w:t xml:space="preserve"> dicha causal de improcedencia; al no existir, en relación al mismo, los actos controvertidos; toda vez que no emitió ni la determinación del crédito fiscal, ni llevó a cabo el procedimiento de contribución por la ejecución de obras públicas; pues dicho procedimiento fue tramitado por el propio Fideicomiso de Obras por Cooperación y la determinación de crédito fue realizada por la Directora de tal Fideicomiso, al referir que le fue delegada expresamente por el Tesorero Municipal dicha facultad. . . . . . . . . . . . . . . . . . . . . . . . . . . . . . . . . . . . . . . . . . . . . . . . </w:t>
      </w:r>
    </w:p>
    <w:p w:rsidR="00B46241" w:rsidRPr="00421B77" w:rsidRDefault="00B46241" w:rsidP="00B46241">
      <w:pPr>
        <w:ind w:firstLine="708"/>
        <w:jc w:val="both"/>
        <w:rPr>
          <w:rFonts w:ascii="Calibri" w:hAnsi="Calibri" w:cs="Arial"/>
          <w:color w:val="767171" w:themeColor="background2" w:themeShade="80"/>
          <w:sz w:val="26"/>
          <w:szCs w:val="26"/>
        </w:rPr>
      </w:pPr>
    </w:p>
    <w:p w:rsidR="00B46241" w:rsidRPr="00AE7E92" w:rsidRDefault="00B46241" w:rsidP="00B46241">
      <w:pPr>
        <w:pStyle w:val="Sangra3detindependiente"/>
        <w:ind w:firstLine="720"/>
        <w:jc w:val="both"/>
        <w:rPr>
          <w:rFonts w:ascii="Calibri" w:hAnsi="Calibri" w:cs="Arial"/>
          <w:color w:val="767171" w:themeColor="background2" w:themeShade="80"/>
          <w:sz w:val="26"/>
          <w:szCs w:val="26"/>
        </w:rPr>
      </w:pPr>
      <w:r w:rsidRPr="00AE7E92">
        <w:rPr>
          <w:rFonts w:ascii="Calibri" w:hAnsi="Calibri" w:cs="Arial"/>
          <w:color w:val="767171" w:themeColor="background2" w:themeShade="80"/>
          <w:sz w:val="26"/>
          <w:szCs w:val="26"/>
        </w:rPr>
        <w:lastRenderedPageBreak/>
        <w:t xml:space="preserve">Por lo que al quedar determinado que se actualiza la hipótesis de improcedencia prevista en la fracción VI, del artículo 261 del Código de Procedimiento y Justicia Administrativa antes citado, respecto a la Tesorería Municipal; por lo que es procedente SOBRESEER el presente proceso administrativo, única y exclusivamente con relación a tal dependencia municipal, con sustento en lo establecido por el artículo 262, fracción II, del Código de Procedimiento y Justicia Administrativa para el Estado y los Municipios de Guanajuato. . . . . . . . . . . . . . . . . . . . . . . . . . . . . . . . . . . . . . . . . . . . . . . . . . . . . . . . . . . </w:t>
      </w:r>
    </w:p>
    <w:p w:rsidR="00B46241" w:rsidRPr="00421B77" w:rsidRDefault="00B46241" w:rsidP="00B46241">
      <w:pPr>
        <w:pStyle w:val="Sangra3detindependiente"/>
        <w:rPr>
          <w:rFonts w:asciiTheme="minorHAnsi" w:hAnsiTheme="minorHAnsi" w:cstheme="minorHAnsi"/>
          <w:color w:val="767171" w:themeColor="background2" w:themeShade="80"/>
        </w:rPr>
      </w:pPr>
    </w:p>
    <w:p w:rsidR="00B46241" w:rsidRPr="00421B77" w:rsidRDefault="00B46241" w:rsidP="00B46241">
      <w:pPr>
        <w:ind w:firstLine="708"/>
        <w:jc w:val="both"/>
        <w:rPr>
          <w:rFonts w:ascii="Calibri" w:hAnsi="Calibri" w:cs="Arial"/>
          <w:color w:val="767171" w:themeColor="background2" w:themeShade="80"/>
          <w:sz w:val="26"/>
          <w:szCs w:val="26"/>
        </w:rPr>
      </w:pPr>
      <w:r w:rsidRPr="00421B77">
        <w:rPr>
          <w:rFonts w:ascii="Calibri" w:hAnsi="Calibri" w:cs="Arial"/>
          <w:color w:val="767171" w:themeColor="background2" w:themeShade="80"/>
          <w:sz w:val="26"/>
          <w:szCs w:val="26"/>
        </w:rPr>
        <w:t xml:space="preserve">Por último, al no actualizarse, de manera oficiosa, alguna otra causal de improcedencia o sobreseimiento en cuanto al acto impugnado, es procedente el presente proceso en contra de la Directora del Fideicomiso de Obras por cooperación, autoridad que lo emitió. . . . . . . . . . . . . . . . . . . . . . . . . . . . . . . . . </w:t>
      </w:r>
      <w:proofErr w:type="gramStart"/>
      <w:r w:rsidRPr="00421B77">
        <w:rPr>
          <w:rFonts w:ascii="Calibri" w:hAnsi="Calibri" w:cs="Arial"/>
          <w:color w:val="767171" w:themeColor="background2" w:themeShade="80"/>
          <w:sz w:val="26"/>
          <w:szCs w:val="26"/>
        </w:rPr>
        <w:t>. . . .</w:t>
      </w:r>
      <w:proofErr w:type="gramEnd"/>
      <w:r w:rsidRPr="00421B77">
        <w:rPr>
          <w:rFonts w:ascii="Calibri" w:hAnsi="Calibri" w:cs="Arial"/>
          <w:color w:val="767171" w:themeColor="background2" w:themeShade="80"/>
          <w:sz w:val="26"/>
          <w:szCs w:val="26"/>
        </w:rPr>
        <w:t xml:space="preserve"> .</w:t>
      </w:r>
    </w:p>
    <w:p w:rsidR="00B46241" w:rsidRPr="00421B77" w:rsidRDefault="00B46241" w:rsidP="00B46241">
      <w:pPr>
        <w:ind w:firstLine="708"/>
        <w:jc w:val="both"/>
        <w:rPr>
          <w:rFonts w:ascii="Calibri" w:hAnsi="Calibri" w:cs="Arial"/>
          <w:color w:val="767171" w:themeColor="background2" w:themeShade="80"/>
          <w:sz w:val="26"/>
          <w:szCs w:val="26"/>
        </w:rPr>
      </w:pPr>
    </w:p>
    <w:p w:rsidR="00B46241" w:rsidRPr="00421B77" w:rsidRDefault="00B46241" w:rsidP="00B46241">
      <w:pPr>
        <w:ind w:firstLine="708"/>
        <w:jc w:val="both"/>
        <w:rPr>
          <w:rFonts w:ascii="Calibri" w:hAnsi="Calibri" w:cs="Calibri"/>
          <w:color w:val="767171" w:themeColor="background2" w:themeShade="80"/>
          <w:sz w:val="26"/>
          <w:szCs w:val="26"/>
        </w:rPr>
      </w:pPr>
      <w:proofErr w:type="gramStart"/>
      <w:r w:rsidRPr="00421B77">
        <w:rPr>
          <w:rFonts w:ascii="Calibri" w:hAnsi="Calibri" w:cs="Calibri"/>
          <w:b/>
          <w:bCs/>
          <w:i/>
          <w:iCs/>
          <w:color w:val="767171" w:themeColor="background2" w:themeShade="80"/>
          <w:sz w:val="26"/>
          <w:szCs w:val="26"/>
        </w:rPr>
        <w:t>QUINTO.-</w:t>
      </w:r>
      <w:proofErr w:type="gramEnd"/>
      <w:r w:rsidRPr="00421B77">
        <w:rPr>
          <w:rFonts w:ascii="Calibri" w:hAnsi="Calibri" w:cs="Calibri"/>
          <w:b/>
          <w:bCs/>
          <w:i/>
          <w:iCs/>
          <w:color w:val="767171" w:themeColor="background2" w:themeShade="80"/>
          <w:sz w:val="26"/>
          <w:szCs w:val="26"/>
        </w:rPr>
        <w:t xml:space="preserve"> </w:t>
      </w:r>
      <w:r w:rsidRPr="00421B77">
        <w:rPr>
          <w:rFonts w:ascii="Calibri" w:hAnsi="Calibri" w:cs="Calibri"/>
          <w:bCs/>
          <w:iCs/>
          <w:color w:val="767171" w:themeColor="background2" w:themeShade="80"/>
          <w:sz w:val="26"/>
          <w:szCs w:val="26"/>
        </w:rPr>
        <w:t>Previamente al análisis del planteamiento de fondo formulado por el actor, es</w:t>
      </w:r>
      <w:r w:rsidRPr="00421B7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B46241" w:rsidRPr="00421B77" w:rsidRDefault="00B46241" w:rsidP="00B46241">
      <w:pPr>
        <w:ind w:firstLine="708"/>
        <w:jc w:val="both"/>
        <w:rPr>
          <w:rFonts w:ascii="Calibri" w:hAnsi="Calibri" w:cs="Calibri"/>
          <w:color w:val="767171" w:themeColor="background2" w:themeShade="80"/>
          <w:sz w:val="26"/>
          <w:szCs w:val="26"/>
        </w:rPr>
      </w:pPr>
    </w:p>
    <w:p w:rsidR="00B46241" w:rsidRPr="00421B77" w:rsidRDefault="00B46241" w:rsidP="00B46241">
      <w:pPr>
        <w:ind w:firstLine="708"/>
        <w:jc w:val="right"/>
        <w:rPr>
          <w:rFonts w:ascii="Calibri" w:hAnsi="Calibri"/>
          <w:b/>
          <w:iCs/>
          <w:color w:val="767171" w:themeColor="background2" w:themeShade="80"/>
          <w:sz w:val="26"/>
          <w:szCs w:val="27"/>
        </w:rPr>
      </w:pPr>
      <w:r w:rsidRPr="00421B77">
        <w:rPr>
          <w:rFonts w:ascii="Calibri" w:hAnsi="Calibri"/>
          <w:b/>
          <w:iCs/>
          <w:color w:val="767171" w:themeColor="background2" w:themeShade="80"/>
          <w:sz w:val="26"/>
          <w:szCs w:val="27"/>
        </w:rPr>
        <w:t xml:space="preserve">Expediente número 110/2015-JN </w:t>
      </w:r>
    </w:p>
    <w:p w:rsidR="00B46241" w:rsidRPr="00421B77" w:rsidRDefault="00B46241" w:rsidP="00B46241">
      <w:pPr>
        <w:jc w:val="both"/>
        <w:rPr>
          <w:rFonts w:ascii="Calibri" w:hAnsi="Calibri"/>
          <w:color w:val="767171" w:themeColor="background2" w:themeShade="80"/>
          <w:sz w:val="26"/>
        </w:rPr>
      </w:pPr>
    </w:p>
    <w:p w:rsidR="00B46241" w:rsidRPr="00421B77" w:rsidRDefault="00B46241" w:rsidP="00B46241">
      <w:pPr>
        <w:ind w:firstLine="708"/>
        <w:jc w:val="both"/>
        <w:rPr>
          <w:rFonts w:ascii="Calibri" w:hAnsi="Calibri"/>
          <w:color w:val="767171" w:themeColor="background2" w:themeShade="80"/>
          <w:sz w:val="26"/>
        </w:rPr>
      </w:pPr>
      <w:r w:rsidRPr="00421B77">
        <w:rPr>
          <w:rFonts w:ascii="Calibri" w:hAnsi="Calibri"/>
          <w:color w:val="767171" w:themeColor="background2" w:themeShade="80"/>
          <w:sz w:val="26"/>
        </w:rPr>
        <w:t xml:space="preserve">De lo expuesto en el escrito de demanda, de la contestación de demanda de las autoridades municipales demandadas, así como de las constancias que integran la presente causa administrativa; se desprende que en el mes de septiembre del año 2014 dos mil catorce, la Directora del Fideicomiso de Obras por Cooperación, Licenciada </w:t>
      </w:r>
      <w:r>
        <w:rPr>
          <w:rFonts w:ascii="Calibri" w:hAnsi="Calibri"/>
          <w:color w:val="767171" w:themeColor="background2" w:themeShade="80"/>
          <w:sz w:val="26"/>
        </w:rPr>
        <w:t>*****</w:t>
      </w:r>
      <w:r w:rsidRPr="00421B77">
        <w:rPr>
          <w:rFonts w:ascii="Calibri" w:hAnsi="Calibri"/>
          <w:color w:val="767171" w:themeColor="background2" w:themeShade="80"/>
          <w:sz w:val="26"/>
        </w:rPr>
        <w:t xml:space="preserve">, emitió al ahora actor, el documento determinante del crédito número </w:t>
      </w:r>
      <w:r w:rsidRPr="00421B77">
        <w:rPr>
          <w:rFonts w:ascii="Calibri" w:hAnsi="Calibri"/>
          <w:bCs/>
          <w:color w:val="767171" w:themeColor="background2" w:themeShade="80"/>
          <w:sz w:val="26"/>
          <w:szCs w:val="27"/>
        </w:rPr>
        <w:t>de crédito 3803050001016, por el cual se le señaló el monto de la contribución por ejecución de obras públicas por la cantidad de $11,437.34 (Once mil cuatrocientos treinta y siete pesos 34/100 Moneda Nacional) Obras con las que resultó beneficiado</w:t>
      </w:r>
      <w:r w:rsidRPr="00421B77">
        <w:rPr>
          <w:rFonts w:ascii="Calibri" w:hAnsi="Calibri"/>
          <w:b/>
          <w:bCs/>
          <w:color w:val="767171" w:themeColor="background2" w:themeShade="80"/>
          <w:sz w:val="26"/>
          <w:szCs w:val="27"/>
        </w:rPr>
        <w:t xml:space="preserve"> </w:t>
      </w:r>
      <w:r w:rsidRPr="00421B77">
        <w:rPr>
          <w:rFonts w:ascii="Calibri" w:hAnsi="Calibri"/>
          <w:bCs/>
          <w:color w:val="767171" w:themeColor="background2" w:themeShade="80"/>
          <w:sz w:val="26"/>
          <w:szCs w:val="27"/>
        </w:rPr>
        <w:t xml:space="preserve">el inmueble ubicado en calle </w:t>
      </w:r>
      <w:r w:rsidRPr="00AE7E92">
        <w:rPr>
          <w:rFonts w:ascii="Calibri" w:hAnsi="Calibri"/>
          <w:bCs/>
          <w:color w:val="767171" w:themeColor="background2" w:themeShade="80"/>
          <w:sz w:val="26"/>
          <w:szCs w:val="27"/>
        </w:rPr>
        <w:t>*****de</w:t>
      </w:r>
      <w:r w:rsidRPr="00421B77">
        <w:rPr>
          <w:rFonts w:ascii="Calibri" w:hAnsi="Calibri"/>
          <w:bCs/>
          <w:color w:val="767171" w:themeColor="background2" w:themeShade="80"/>
          <w:sz w:val="26"/>
          <w:szCs w:val="27"/>
        </w:rPr>
        <w:t xml:space="preserve"> esta ciudad. . . . . . . . . . . . . . . . . . . . . . . . . . . . . . . . . . . . . . . . . . . . . . . . . . </w:t>
      </w:r>
    </w:p>
    <w:p w:rsidR="00B46241" w:rsidRPr="00421B77" w:rsidRDefault="00B46241" w:rsidP="00B46241">
      <w:pPr>
        <w:jc w:val="both"/>
        <w:rPr>
          <w:rFonts w:ascii="Calibri" w:hAnsi="Calibri"/>
          <w:color w:val="767171" w:themeColor="background2" w:themeShade="80"/>
          <w:sz w:val="26"/>
        </w:rPr>
      </w:pPr>
    </w:p>
    <w:p w:rsidR="00B46241" w:rsidRPr="00421B77" w:rsidRDefault="00B46241" w:rsidP="00B46241">
      <w:pPr>
        <w:jc w:val="both"/>
        <w:rPr>
          <w:rFonts w:ascii="Calibri" w:hAnsi="Calibri"/>
          <w:color w:val="767171" w:themeColor="background2" w:themeShade="80"/>
          <w:sz w:val="26"/>
        </w:rPr>
      </w:pPr>
      <w:r w:rsidRPr="00421B77">
        <w:rPr>
          <w:rFonts w:ascii="Calibri" w:hAnsi="Calibri"/>
          <w:color w:val="767171" w:themeColor="background2" w:themeShade="80"/>
          <w:sz w:val="26"/>
        </w:rPr>
        <w:tab/>
        <w:t xml:space="preserve">Aportando la autoridad demandada, el procedimiento de dicha contribución realizado desde el año 1998 mil novecientos noventa y ocho, y que en el año 2003 dos mil tres ya se había pretendido cobrar al ciudadano. . . . . . . . . </w:t>
      </w:r>
    </w:p>
    <w:p w:rsidR="00B46241" w:rsidRPr="00421B77" w:rsidRDefault="00B46241" w:rsidP="00B46241">
      <w:pPr>
        <w:jc w:val="both"/>
        <w:rPr>
          <w:rFonts w:ascii="Calibri" w:hAnsi="Calibri"/>
          <w:color w:val="767171" w:themeColor="background2" w:themeShade="80"/>
          <w:sz w:val="26"/>
        </w:rPr>
      </w:pPr>
    </w:p>
    <w:p w:rsidR="00B46241" w:rsidRPr="00421B77" w:rsidRDefault="00B46241" w:rsidP="00B46241">
      <w:pPr>
        <w:ind w:firstLine="708"/>
        <w:jc w:val="both"/>
        <w:rPr>
          <w:rFonts w:ascii="Calibri" w:hAnsi="Calibri"/>
          <w:color w:val="767171" w:themeColor="background2" w:themeShade="80"/>
          <w:sz w:val="26"/>
        </w:rPr>
      </w:pPr>
      <w:r w:rsidRPr="00421B77">
        <w:rPr>
          <w:rFonts w:ascii="Calibri" w:hAnsi="Calibri"/>
          <w:color w:val="767171" w:themeColor="background2" w:themeShade="80"/>
          <w:sz w:val="26"/>
        </w:rPr>
        <w:t xml:space="preserve">Determinación de la contribución por la ejecución de obra pública, que el impetrante del proceso considera ilegal, toda vez que refirió que la determinación </w:t>
      </w:r>
      <w:r w:rsidRPr="00421B77">
        <w:rPr>
          <w:rFonts w:ascii="Calibri" w:hAnsi="Calibri"/>
          <w:color w:val="767171" w:themeColor="background2" w:themeShade="80"/>
          <w:sz w:val="26"/>
        </w:rPr>
        <w:lastRenderedPageBreak/>
        <w:t xml:space="preserve">no se encuentra fundada y motivada, que ya prescribió el crédito fiscal, que la Directora del fideicomiso demandado no cuenta con competencia para determinar el crédito, entre otros aspectos. . . . . . . . . . . . . . . . . . . . . . . . </w:t>
      </w:r>
      <w:proofErr w:type="gramStart"/>
      <w:r w:rsidRPr="00421B77">
        <w:rPr>
          <w:rFonts w:ascii="Calibri" w:hAnsi="Calibri"/>
          <w:color w:val="767171" w:themeColor="background2" w:themeShade="80"/>
          <w:sz w:val="26"/>
        </w:rPr>
        <w:t>. . . .</w:t>
      </w:r>
      <w:proofErr w:type="gramEnd"/>
      <w:r w:rsidRPr="00421B77">
        <w:rPr>
          <w:rFonts w:ascii="Calibri" w:hAnsi="Calibri"/>
          <w:color w:val="767171" w:themeColor="background2" w:themeShade="80"/>
          <w:sz w:val="26"/>
        </w:rPr>
        <w:t xml:space="preserve"> </w:t>
      </w:r>
    </w:p>
    <w:p w:rsidR="00B46241" w:rsidRPr="00421B77" w:rsidRDefault="00B46241" w:rsidP="00B46241">
      <w:pPr>
        <w:jc w:val="both"/>
        <w:rPr>
          <w:rFonts w:ascii="Calibri" w:hAnsi="Calibri"/>
          <w:color w:val="767171" w:themeColor="background2" w:themeShade="80"/>
          <w:sz w:val="26"/>
        </w:rPr>
      </w:pPr>
    </w:p>
    <w:p w:rsidR="00B46241" w:rsidRPr="00421B77" w:rsidRDefault="00B46241" w:rsidP="00B46241">
      <w:pPr>
        <w:ind w:firstLine="283"/>
        <w:jc w:val="both"/>
        <w:rPr>
          <w:rFonts w:ascii="Calibri" w:hAnsi="Calibri"/>
          <w:color w:val="767171" w:themeColor="background2" w:themeShade="80"/>
          <w:sz w:val="26"/>
          <w:szCs w:val="27"/>
          <w:highlight w:val="yellow"/>
        </w:rPr>
      </w:pPr>
      <w:r w:rsidRPr="00421B77">
        <w:rPr>
          <w:rFonts w:ascii="Calibri" w:hAnsi="Calibri"/>
          <w:color w:val="767171" w:themeColor="background2" w:themeShade="80"/>
          <w:sz w:val="26"/>
        </w:rPr>
        <w:tab/>
        <w:t xml:space="preserve">A lo expresado por el justiciable, las autoridades demandadas, sostuvieron la legalidad de la determinación, y de todo lo actuado, alegando que se emitió en estricta observancia de la Ley de Hacienda para los Municipios del Estado de Guanajuato, agregando que resultan ineficaces, inoperantes e ineficientes los conceptos de impugnación hechos valer. . . . . . . . . . . . . . . . . . . . . . . . . . . . . . </w:t>
      </w:r>
      <w:proofErr w:type="gramStart"/>
      <w:r w:rsidRPr="00421B77">
        <w:rPr>
          <w:rFonts w:ascii="Calibri" w:hAnsi="Calibri"/>
          <w:color w:val="767171" w:themeColor="background2" w:themeShade="80"/>
          <w:sz w:val="26"/>
        </w:rPr>
        <w:t>. . . .</w:t>
      </w:r>
      <w:proofErr w:type="gramEnd"/>
      <w:r w:rsidRPr="00421B77">
        <w:rPr>
          <w:rFonts w:ascii="Calibri" w:hAnsi="Calibri"/>
          <w:color w:val="767171" w:themeColor="background2" w:themeShade="80"/>
          <w:sz w:val="26"/>
        </w:rPr>
        <w:t xml:space="preserve"> . </w:t>
      </w:r>
    </w:p>
    <w:p w:rsidR="00B46241" w:rsidRPr="00421B77" w:rsidRDefault="00B46241" w:rsidP="00B46241">
      <w:pPr>
        <w:jc w:val="both"/>
        <w:rPr>
          <w:rFonts w:ascii="Calibri" w:hAnsi="Calibri"/>
          <w:color w:val="767171" w:themeColor="background2" w:themeShade="80"/>
          <w:sz w:val="26"/>
        </w:rPr>
      </w:pPr>
    </w:p>
    <w:p w:rsidR="00B46241" w:rsidRPr="00421B77" w:rsidRDefault="00B46241" w:rsidP="00B46241">
      <w:pPr>
        <w:ind w:firstLine="708"/>
        <w:jc w:val="both"/>
        <w:rPr>
          <w:rFonts w:ascii="Calibri" w:hAnsi="Calibri"/>
          <w:b/>
          <w:bCs/>
          <w:color w:val="767171" w:themeColor="background2" w:themeShade="80"/>
          <w:sz w:val="26"/>
          <w:szCs w:val="27"/>
        </w:rPr>
      </w:pPr>
      <w:r w:rsidRPr="00421B77">
        <w:rPr>
          <w:rFonts w:ascii="Calibri" w:hAnsi="Calibri" w:cs="Calibri"/>
          <w:color w:val="767171" w:themeColor="background2" w:themeShade="80"/>
          <w:sz w:val="26"/>
          <w:szCs w:val="26"/>
        </w:rPr>
        <w:t xml:space="preserve">Así las cosas, la </w:t>
      </w:r>
      <w:r w:rsidRPr="00421B77">
        <w:rPr>
          <w:rFonts w:ascii="Calibri" w:hAnsi="Calibri" w:cs="Calibri"/>
          <w:i/>
          <w:color w:val="767171" w:themeColor="background2" w:themeShade="80"/>
          <w:sz w:val="26"/>
          <w:szCs w:val="26"/>
        </w:rPr>
        <w:t>“</w:t>
      </w:r>
      <w:proofErr w:type="spellStart"/>
      <w:r w:rsidRPr="00421B77">
        <w:rPr>
          <w:rFonts w:ascii="Calibri" w:hAnsi="Calibri" w:cs="Calibri"/>
          <w:i/>
          <w:color w:val="767171" w:themeColor="background2" w:themeShade="80"/>
          <w:sz w:val="26"/>
          <w:szCs w:val="26"/>
        </w:rPr>
        <w:t>litis</w:t>
      </w:r>
      <w:proofErr w:type="spellEnd"/>
      <w:r w:rsidRPr="00421B77">
        <w:rPr>
          <w:rFonts w:ascii="Calibri" w:hAnsi="Calibri" w:cs="Calibri"/>
          <w:i/>
          <w:color w:val="767171" w:themeColor="background2" w:themeShade="80"/>
          <w:sz w:val="26"/>
          <w:szCs w:val="26"/>
        </w:rPr>
        <w:t>”</w:t>
      </w:r>
      <w:r w:rsidRPr="00421B77">
        <w:rPr>
          <w:rFonts w:ascii="Calibri" w:hAnsi="Calibri" w:cs="Calibri"/>
          <w:color w:val="767171" w:themeColor="background2" w:themeShade="80"/>
          <w:sz w:val="26"/>
          <w:szCs w:val="26"/>
        </w:rPr>
        <w:t xml:space="preserve"> planteada se hace consistir en determinar la legalidad o ilegalidad de</w:t>
      </w:r>
      <w:r w:rsidRPr="00421B77">
        <w:rPr>
          <w:rFonts w:ascii="Calibri" w:hAnsi="Calibri"/>
          <w:bCs/>
          <w:color w:val="767171" w:themeColor="background2" w:themeShade="80"/>
          <w:sz w:val="26"/>
          <w:szCs w:val="27"/>
        </w:rPr>
        <w:t xml:space="preserve">l documento determinante del crédito número 3803050001016, por el cual se le pretende hacer efectivo el cobro de contribuciones por ejecución de obras públicas por la cantidad de $11,437.34 (Once mil cuatrocientos treinta y siete pesos 34/100 Moneda Nacional) . . . </w:t>
      </w:r>
      <w:proofErr w:type="gramStart"/>
      <w:r w:rsidRPr="00421B77">
        <w:rPr>
          <w:rFonts w:ascii="Calibri" w:hAnsi="Calibri"/>
          <w:bCs/>
          <w:color w:val="767171" w:themeColor="background2" w:themeShade="80"/>
          <w:sz w:val="26"/>
          <w:szCs w:val="27"/>
        </w:rPr>
        <w:t>. . . .</w:t>
      </w:r>
      <w:proofErr w:type="gramEnd"/>
      <w:r w:rsidRPr="00421B77">
        <w:rPr>
          <w:rFonts w:ascii="Calibri" w:hAnsi="Calibri"/>
          <w:bCs/>
          <w:color w:val="767171" w:themeColor="background2" w:themeShade="80"/>
          <w:sz w:val="26"/>
          <w:szCs w:val="27"/>
        </w:rPr>
        <w:t xml:space="preserve"> . </w:t>
      </w:r>
    </w:p>
    <w:p w:rsidR="00B46241" w:rsidRPr="00421B77" w:rsidRDefault="00B46241" w:rsidP="00B46241">
      <w:pPr>
        <w:pStyle w:val="Textoindependiente"/>
        <w:rPr>
          <w:rFonts w:ascii="Calibri" w:hAnsi="Calibri"/>
          <w:color w:val="767171" w:themeColor="background2" w:themeShade="80"/>
          <w:sz w:val="26"/>
          <w:lang w:val="es-ES"/>
        </w:rPr>
      </w:pPr>
    </w:p>
    <w:p w:rsidR="00B46241" w:rsidRPr="00421B77" w:rsidRDefault="00B46241" w:rsidP="00B46241">
      <w:pPr>
        <w:pStyle w:val="Textoindependiente"/>
        <w:ind w:firstLine="708"/>
        <w:rPr>
          <w:rFonts w:ascii="Calibri" w:hAnsi="Calibri"/>
          <w:color w:val="767171" w:themeColor="background2" w:themeShade="80"/>
          <w:sz w:val="26"/>
        </w:rPr>
      </w:pPr>
      <w:r w:rsidRPr="00421B77">
        <w:rPr>
          <w:rFonts w:ascii="Calibri" w:hAnsi="Calibri"/>
          <w:b/>
          <w:bCs/>
          <w:i/>
          <w:iCs/>
          <w:color w:val="767171" w:themeColor="background2" w:themeShade="80"/>
          <w:sz w:val="26"/>
        </w:rPr>
        <w:t>SEXTO.-</w:t>
      </w:r>
      <w:r w:rsidRPr="00421B77">
        <w:rPr>
          <w:rFonts w:ascii="Calibri" w:hAnsi="Calibri"/>
          <w:color w:val="767171" w:themeColor="background2" w:themeShade="80"/>
          <w:sz w:val="26"/>
        </w:rPr>
        <w:t xml:space="preserve"> No existiendo impedimento legal, se procede al estudio de los conceptos de impugnación expresados por el demandante en su escrito de demanda; por lo que para ello, </w:t>
      </w:r>
      <w:r w:rsidRPr="00421B77">
        <w:rPr>
          <w:rFonts w:ascii="Calibri" w:hAnsi="Calibri"/>
          <w:color w:val="767171" w:themeColor="background2" w:themeShade="80"/>
          <w:sz w:val="26"/>
          <w:szCs w:val="26"/>
        </w:rPr>
        <w:t xml:space="preserve">este Juzgador de manera primordial procederá al análisis de los conceptos de impugnación aplicando el principio de mayor consecuencia anulatoria de la resolución impugnada y que pudiera traer mayor beneficio al justiciable, en concordancia con los principios de congruencia y exhaustividad que deben regir en toda sentencia. . . . . . . . . . . . . . . . . . . . . . . . . . . . </w:t>
      </w:r>
    </w:p>
    <w:p w:rsidR="00B46241" w:rsidRPr="00421B77" w:rsidRDefault="00B46241" w:rsidP="00B46241">
      <w:pPr>
        <w:jc w:val="both"/>
        <w:rPr>
          <w:rFonts w:ascii="Calibri" w:hAnsi="Calibri"/>
          <w:color w:val="767171" w:themeColor="background2" w:themeShade="80"/>
          <w:sz w:val="26"/>
          <w:szCs w:val="27"/>
          <w:lang w:val="es-MX"/>
        </w:rPr>
      </w:pPr>
    </w:p>
    <w:p w:rsidR="00B46241" w:rsidRPr="00421B77" w:rsidRDefault="00B46241" w:rsidP="00B46241">
      <w:pPr>
        <w:ind w:firstLine="708"/>
        <w:jc w:val="both"/>
        <w:rPr>
          <w:rFonts w:ascii="Calibri" w:hAnsi="Calibri"/>
          <w:color w:val="767171" w:themeColor="background2" w:themeShade="80"/>
          <w:sz w:val="26"/>
        </w:rPr>
      </w:pPr>
      <w:r w:rsidRPr="00421B77">
        <w:rPr>
          <w:rFonts w:ascii="Calibri" w:hAnsi="Calibri"/>
          <w:color w:val="767171" w:themeColor="background2" w:themeShade="80"/>
          <w:sz w:val="26"/>
          <w:szCs w:val="27"/>
        </w:rPr>
        <w:t xml:space="preserve">Así pues, </w:t>
      </w:r>
      <w:r w:rsidRPr="00421B77">
        <w:rPr>
          <w:rFonts w:ascii="Calibri" w:hAnsi="Calibri"/>
          <w:color w:val="767171" w:themeColor="background2" w:themeShade="80"/>
          <w:sz w:val="26"/>
        </w:rPr>
        <w:t xml:space="preserve">este Juzgador se avocará al estudio del </w:t>
      </w:r>
      <w:r w:rsidRPr="00421B77">
        <w:rPr>
          <w:rFonts w:ascii="Calibri" w:hAnsi="Calibri"/>
          <w:b/>
          <w:color w:val="767171" w:themeColor="background2" w:themeShade="80"/>
          <w:sz w:val="26"/>
        </w:rPr>
        <w:t>Tercer</w:t>
      </w:r>
      <w:r w:rsidRPr="00421B77">
        <w:rPr>
          <w:rFonts w:ascii="Calibri" w:hAnsi="Calibri"/>
          <w:color w:val="767171" w:themeColor="background2" w:themeShade="80"/>
          <w:sz w:val="26"/>
        </w:rPr>
        <w:t xml:space="preserve"> concepto de impugnación del escrito de demanda, sin necesidad de transcribirlo en su totalidad; así como tampoco los restantes, sirviendo para ello el criterio sostenido por la Suprema Corte de Justicia de la Nación, en la siguiente Jurisprudencia: . . . . . . . . . . . . . . . . . . . . . . . . . . . . . . . . . . . . . . . . . . . . . . . . . . . </w:t>
      </w:r>
      <w:proofErr w:type="gramStart"/>
      <w:r w:rsidRPr="00421B77">
        <w:rPr>
          <w:rFonts w:ascii="Calibri" w:hAnsi="Calibri"/>
          <w:color w:val="767171" w:themeColor="background2" w:themeShade="80"/>
          <w:sz w:val="26"/>
        </w:rPr>
        <w:t>. . . .</w:t>
      </w:r>
      <w:proofErr w:type="gramEnd"/>
      <w:r w:rsidRPr="00421B77">
        <w:rPr>
          <w:rFonts w:ascii="Calibri" w:hAnsi="Calibri"/>
          <w:color w:val="767171" w:themeColor="background2" w:themeShade="80"/>
          <w:sz w:val="26"/>
        </w:rPr>
        <w:t xml:space="preserve"> .</w:t>
      </w:r>
    </w:p>
    <w:p w:rsidR="00B46241" w:rsidRPr="00421B77" w:rsidRDefault="00B46241" w:rsidP="00B46241">
      <w:pPr>
        <w:ind w:firstLine="708"/>
        <w:jc w:val="both"/>
        <w:rPr>
          <w:rFonts w:ascii="Calibri" w:hAnsi="Calibri"/>
          <w:color w:val="767171" w:themeColor="background2" w:themeShade="80"/>
          <w:sz w:val="26"/>
        </w:rPr>
      </w:pPr>
    </w:p>
    <w:p w:rsidR="00B46241" w:rsidRPr="00421B77" w:rsidRDefault="00B46241" w:rsidP="00B46241">
      <w:pPr>
        <w:ind w:firstLine="708"/>
        <w:jc w:val="both"/>
        <w:rPr>
          <w:rFonts w:ascii="Calibri" w:hAnsi="Calibri"/>
          <w:i/>
          <w:iCs/>
          <w:color w:val="767171" w:themeColor="background2" w:themeShade="80"/>
          <w:sz w:val="26"/>
          <w:szCs w:val="26"/>
        </w:rPr>
      </w:pPr>
      <w:r w:rsidRPr="00421B77">
        <w:rPr>
          <w:rFonts w:ascii="Calibri" w:hAnsi="Calibri"/>
          <w:i/>
          <w:iCs/>
          <w:color w:val="767171" w:themeColor="background2" w:themeShade="80"/>
          <w:sz w:val="26"/>
          <w:szCs w:val="26"/>
        </w:rPr>
        <w:t>“</w:t>
      </w:r>
      <w:r w:rsidRPr="00421B77">
        <w:rPr>
          <w:rFonts w:ascii="Calibri" w:hAnsi="Calibri"/>
          <w:b/>
          <w:i/>
          <w:iCs/>
          <w:color w:val="767171" w:themeColor="background2" w:themeShade="80"/>
          <w:sz w:val="26"/>
          <w:szCs w:val="26"/>
        </w:rPr>
        <w:t>CONCEPTOS DE VIOLACIÓN. EL JUEZ NO ESTÁ OBLIGADO A TRANSCRIBIRLOS.</w:t>
      </w:r>
      <w:r w:rsidRPr="00421B77">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21B77">
        <w:rPr>
          <w:rFonts w:ascii="Calibri" w:hAnsi="Calibri"/>
          <w:i/>
          <w:iCs/>
          <w:color w:val="767171" w:themeColor="background2" w:themeShade="80"/>
          <w:szCs w:val="27"/>
        </w:rPr>
        <w:t xml:space="preserve"> </w:t>
      </w:r>
      <w:r w:rsidRPr="00421B77">
        <w:rPr>
          <w:rFonts w:ascii="Calibri" w:hAnsi="Calibri"/>
          <w:i/>
          <w:iCs/>
          <w:color w:val="767171" w:themeColor="background2" w:themeShade="80"/>
          <w:sz w:val="20"/>
          <w:szCs w:val="20"/>
        </w:rPr>
        <w:t>S</w:t>
      </w:r>
      <w:r w:rsidRPr="00421B77">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421B77">
        <w:rPr>
          <w:rFonts w:ascii="Calibri" w:hAnsi="Calibri" w:cs="David Transparent"/>
          <w:color w:val="767171" w:themeColor="background2" w:themeShade="80"/>
          <w:sz w:val="20"/>
          <w:szCs w:val="20"/>
        </w:rPr>
        <w:t>Federación</w:t>
      </w:r>
      <w:r w:rsidRPr="00421B77">
        <w:rPr>
          <w:rFonts w:ascii="Calibri" w:hAnsi="Calibri"/>
          <w:color w:val="767171" w:themeColor="background2" w:themeShade="80"/>
          <w:sz w:val="20"/>
          <w:szCs w:val="20"/>
        </w:rPr>
        <w:t xml:space="preserve"> y su Gaceta. VII, </w:t>
      </w:r>
      <w:proofErr w:type="gramStart"/>
      <w:r w:rsidRPr="00421B77">
        <w:rPr>
          <w:rFonts w:ascii="Calibri" w:hAnsi="Calibri"/>
          <w:color w:val="767171" w:themeColor="background2" w:themeShade="80"/>
          <w:sz w:val="20"/>
          <w:szCs w:val="20"/>
        </w:rPr>
        <w:t>Abril</w:t>
      </w:r>
      <w:proofErr w:type="gramEnd"/>
      <w:r w:rsidRPr="00421B77">
        <w:rPr>
          <w:rFonts w:ascii="Calibri" w:hAnsi="Calibri"/>
          <w:color w:val="767171" w:themeColor="background2" w:themeShade="80"/>
          <w:sz w:val="20"/>
          <w:szCs w:val="20"/>
        </w:rPr>
        <w:t xml:space="preserve"> de 1998, Tesis: VI.2o. J/129. Página: 599</w:t>
      </w:r>
      <w:r w:rsidRPr="00421B77">
        <w:rPr>
          <w:rFonts w:ascii="Calibri" w:hAnsi="Calibri"/>
          <w:color w:val="767171" w:themeColor="background2" w:themeShade="80"/>
          <w:szCs w:val="27"/>
        </w:rPr>
        <w:t xml:space="preserve"> . . . . . . . . . . . . . . . . . . . . . . . . . . . </w:t>
      </w:r>
      <w:proofErr w:type="gramStart"/>
      <w:r w:rsidRPr="00421B77">
        <w:rPr>
          <w:rFonts w:ascii="Calibri" w:hAnsi="Calibri"/>
          <w:color w:val="767171" w:themeColor="background2" w:themeShade="80"/>
          <w:szCs w:val="27"/>
        </w:rPr>
        <w:t>. . . .</w:t>
      </w:r>
      <w:proofErr w:type="gramEnd"/>
      <w:r w:rsidRPr="00421B77">
        <w:rPr>
          <w:rFonts w:ascii="Calibri" w:hAnsi="Calibri"/>
          <w:color w:val="767171" w:themeColor="background2" w:themeShade="80"/>
          <w:szCs w:val="27"/>
        </w:rPr>
        <w:t xml:space="preserve"> . </w:t>
      </w:r>
    </w:p>
    <w:p w:rsidR="00B46241" w:rsidRPr="00421B77" w:rsidRDefault="00B46241" w:rsidP="00B46241">
      <w:pPr>
        <w:pStyle w:val="Textoindependiente"/>
        <w:rPr>
          <w:rFonts w:ascii="Calibri" w:hAnsi="Calibri"/>
          <w:color w:val="767171" w:themeColor="background2" w:themeShade="80"/>
          <w:sz w:val="26"/>
          <w:szCs w:val="27"/>
        </w:rPr>
      </w:pPr>
    </w:p>
    <w:p w:rsidR="00B46241" w:rsidRPr="00421B77" w:rsidRDefault="00B46241" w:rsidP="00B46241">
      <w:pPr>
        <w:pStyle w:val="Textoindependiente"/>
        <w:ind w:firstLine="708"/>
        <w:rPr>
          <w:rFonts w:ascii="Calibri" w:hAnsi="Calibri"/>
          <w:color w:val="767171" w:themeColor="background2" w:themeShade="80"/>
          <w:sz w:val="26"/>
          <w:szCs w:val="27"/>
        </w:rPr>
      </w:pPr>
      <w:r w:rsidRPr="00421B77">
        <w:rPr>
          <w:rFonts w:ascii="Calibri" w:hAnsi="Calibri"/>
          <w:color w:val="767171" w:themeColor="background2" w:themeShade="80"/>
          <w:sz w:val="26"/>
          <w:szCs w:val="27"/>
        </w:rPr>
        <w:lastRenderedPageBreak/>
        <w:t xml:space="preserve">Así las cosas, en el tercer concepto de impugnación, expresó el actor: </w:t>
      </w:r>
      <w:r w:rsidRPr="00421B77">
        <w:rPr>
          <w:rFonts w:ascii="Calibri" w:hAnsi="Calibri"/>
          <w:i/>
          <w:color w:val="767171" w:themeColor="background2" w:themeShade="80"/>
          <w:sz w:val="26"/>
          <w:szCs w:val="27"/>
        </w:rPr>
        <w:t>“La resolución que se reclama….vulnera en mi perjuicio los derechos humanos de audiencia, legalidad……..A mayor abundamiento, el acto que se reclama carece de la debida fundamentación y motivación…”</w:t>
      </w:r>
      <w:r w:rsidRPr="00421B77">
        <w:rPr>
          <w:rFonts w:ascii="Calibri" w:hAnsi="Calibri"/>
          <w:color w:val="767171" w:themeColor="background2" w:themeShade="80"/>
          <w:sz w:val="26"/>
          <w:szCs w:val="27"/>
        </w:rPr>
        <w:t xml:space="preserve"> señalando que no se cumplen los elementos que deben reunir las liquidaciones, como lo establece en el artículo 242 de la Ley de Hacienda para los Municipios del Estado de Guanajuato, específicamente citó que no mencionó el número de cuenta predial, ni como integró el costo por derrama. . . . . . . . . . . . . . . . . . . . . . . . . . . . . . . . . . . . . . . . . . . . .</w:t>
      </w:r>
    </w:p>
    <w:p w:rsidR="00B46241" w:rsidRPr="00421B77" w:rsidRDefault="00B46241" w:rsidP="00B46241">
      <w:pPr>
        <w:pStyle w:val="Textoindependiente"/>
        <w:rPr>
          <w:rFonts w:ascii="Calibri" w:hAnsi="Calibri"/>
          <w:i/>
          <w:color w:val="767171" w:themeColor="background2" w:themeShade="80"/>
          <w:sz w:val="26"/>
          <w:szCs w:val="27"/>
        </w:rPr>
      </w:pPr>
    </w:p>
    <w:p w:rsidR="00B46241" w:rsidRPr="00421B77" w:rsidRDefault="00B46241" w:rsidP="00B46241">
      <w:pPr>
        <w:ind w:firstLine="708"/>
        <w:jc w:val="both"/>
        <w:rPr>
          <w:rFonts w:asciiTheme="minorHAnsi" w:hAnsiTheme="minorHAnsi"/>
          <w:color w:val="767171" w:themeColor="background2" w:themeShade="80"/>
          <w:sz w:val="26"/>
          <w:szCs w:val="26"/>
        </w:rPr>
      </w:pPr>
      <w:r w:rsidRPr="00421B77">
        <w:rPr>
          <w:rFonts w:asciiTheme="minorHAnsi" w:hAnsiTheme="minorHAnsi"/>
          <w:color w:val="767171" w:themeColor="background2" w:themeShade="80"/>
          <w:sz w:val="26"/>
          <w:szCs w:val="26"/>
        </w:rPr>
        <w:t xml:space="preserve">Por su parte, la Directora del Fideicomiso demandado, sostuvo la legalidad de la determinación del crédito por la contribución por la ejecución de obras públicas; además de que manifestó que los conceptos de impugnación eran ineficaces, inoperantes e improcedentes. . . . . . . . . . . . . . . . . . . . . . . . . . . . . . </w:t>
      </w:r>
      <w:proofErr w:type="gramStart"/>
      <w:r w:rsidRPr="00421B77">
        <w:rPr>
          <w:rFonts w:asciiTheme="minorHAnsi" w:hAnsiTheme="minorHAnsi"/>
          <w:color w:val="767171" w:themeColor="background2" w:themeShade="80"/>
          <w:sz w:val="26"/>
          <w:szCs w:val="26"/>
        </w:rPr>
        <w:t>. . . .</w:t>
      </w:r>
      <w:proofErr w:type="gramEnd"/>
      <w:r w:rsidRPr="00421B77">
        <w:rPr>
          <w:rFonts w:asciiTheme="minorHAnsi" w:hAnsiTheme="minorHAnsi"/>
          <w:color w:val="767171" w:themeColor="background2" w:themeShade="80"/>
          <w:sz w:val="26"/>
          <w:szCs w:val="26"/>
        </w:rPr>
        <w:t xml:space="preserve"> . </w:t>
      </w:r>
    </w:p>
    <w:p w:rsidR="00B46241" w:rsidRPr="00421B77" w:rsidRDefault="00B46241" w:rsidP="00B46241">
      <w:pPr>
        <w:pStyle w:val="Sangra3detindependiente"/>
        <w:rPr>
          <w:rFonts w:cs="Arial"/>
          <w:color w:val="767171" w:themeColor="background2" w:themeShade="80"/>
          <w:szCs w:val="26"/>
        </w:rPr>
      </w:pPr>
    </w:p>
    <w:p w:rsidR="00B46241" w:rsidRPr="00AE7E92" w:rsidRDefault="00B46241" w:rsidP="00B46241">
      <w:pPr>
        <w:pStyle w:val="Sangra3detindependiente"/>
        <w:jc w:val="both"/>
        <w:rPr>
          <w:rFonts w:asciiTheme="minorHAnsi" w:hAnsiTheme="minorHAnsi"/>
          <w:color w:val="767171" w:themeColor="background2" w:themeShade="80"/>
          <w:sz w:val="26"/>
          <w:szCs w:val="26"/>
        </w:rPr>
      </w:pPr>
      <w:r w:rsidRPr="00AE7E92">
        <w:rPr>
          <w:rFonts w:asciiTheme="minorHAnsi" w:hAnsiTheme="minorHAnsi"/>
          <w:color w:val="767171" w:themeColor="background2" w:themeShade="80"/>
          <w:sz w:val="26"/>
          <w:szCs w:val="26"/>
        </w:rPr>
        <w:t xml:space="preserve">Analizado que es el acto impugnado, este Juzgador considera que es fundado lo expresado por el actor, ya que efectivamente, el documento determinante de crédito que se impugna no cumple con los requisitos formales exigidos para su validez, ya que </w:t>
      </w:r>
      <w:proofErr w:type="gramStart"/>
      <w:r w:rsidRPr="00AE7E92">
        <w:rPr>
          <w:rFonts w:asciiTheme="minorHAnsi" w:hAnsiTheme="minorHAnsi"/>
          <w:color w:val="767171" w:themeColor="background2" w:themeShade="80"/>
          <w:sz w:val="26"/>
          <w:szCs w:val="26"/>
        </w:rPr>
        <w:t>no  se</w:t>
      </w:r>
      <w:proofErr w:type="gramEnd"/>
      <w:r w:rsidRPr="00AE7E92">
        <w:rPr>
          <w:rFonts w:asciiTheme="minorHAnsi" w:hAnsiTheme="minorHAnsi"/>
          <w:color w:val="767171" w:themeColor="background2" w:themeShade="80"/>
          <w:sz w:val="26"/>
          <w:szCs w:val="26"/>
        </w:rPr>
        <w:t xml:space="preserve"> encuentra suficientemente motivado. . . . . </w:t>
      </w:r>
    </w:p>
    <w:p w:rsidR="00B46241" w:rsidRPr="00AE7E92" w:rsidRDefault="00B46241" w:rsidP="00B46241">
      <w:pPr>
        <w:pStyle w:val="Sangra3detindependiente"/>
        <w:jc w:val="both"/>
        <w:rPr>
          <w:rFonts w:asciiTheme="minorHAnsi" w:hAnsiTheme="minorHAnsi"/>
          <w:color w:val="767171" w:themeColor="background2" w:themeShade="80"/>
          <w:sz w:val="26"/>
          <w:szCs w:val="26"/>
        </w:rPr>
      </w:pPr>
    </w:p>
    <w:p w:rsidR="00B46241" w:rsidRPr="00AE7E92" w:rsidRDefault="00B46241" w:rsidP="00B46241">
      <w:pPr>
        <w:pStyle w:val="Sangra3detindependiente"/>
        <w:jc w:val="both"/>
        <w:rPr>
          <w:rFonts w:asciiTheme="minorHAnsi" w:hAnsiTheme="minorHAnsi"/>
          <w:color w:val="767171" w:themeColor="background2" w:themeShade="80"/>
          <w:sz w:val="26"/>
          <w:szCs w:val="26"/>
        </w:rPr>
      </w:pPr>
      <w:r w:rsidRPr="00AE7E92">
        <w:rPr>
          <w:rFonts w:asciiTheme="minorHAnsi" w:hAnsiTheme="minorHAnsi"/>
          <w:color w:val="767171" w:themeColor="background2" w:themeShade="80"/>
          <w:sz w:val="26"/>
          <w:szCs w:val="26"/>
        </w:rPr>
        <w:t xml:space="preserve">En efecto, el documento determinante de crédito no se encuentra debidamente motivado, tal y como lo señaló el actor, no se mencionó el número de cuenta predial, lo que está obligado a señalar, tal y como lo dispone el artículo 242 en su fracción II de la ley de hacienda aplicable al caso que nos ocupa, y que como puede verse, fue omitido por completo por la autoridad determinante del crédito en el asunto impugnado. . . . . . . . . . . . . . . . . . . . . . . . . . . . . . . . . . . . . . . . . . </w:t>
      </w:r>
    </w:p>
    <w:p w:rsidR="00B46241" w:rsidRPr="00AE7E92" w:rsidRDefault="00B46241" w:rsidP="00B46241">
      <w:pPr>
        <w:pStyle w:val="Sangra3detindependiente"/>
        <w:jc w:val="both"/>
        <w:rPr>
          <w:rFonts w:asciiTheme="minorHAnsi" w:hAnsiTheme="minorHAnsi"/>
          <w:color w:val="767171" w:themeColor="background2" w:themeShade="80"/>
          <w:sz w:val="26"/>
          <w:szCs w:val="26"/>
        </w:rPr>
      </w:pPr>
    </w:p>
    <w:p w:rsidR="00B46241" w:rsidRPr="00AE7E92" w:rsidRDefault="00B46241" w:rsidP="00B46241">
      <w:pPr>
        <w:pStyle w:val="Sangra3detindependiente"/>
        <w:jc w:val="both"/>
        <w:rPr>
          <w:rFonts w:asciiTheme="minorHAnsi" w:hAnsiTheme="minorHAnsi"/>
          <w:color w:val="767171" w:themeColor="background2" w:themeShade="80"/>
          <w:sz w:val="26"/>
          <w:szCs w:val="26"/>
        </w:rPr>
      </w:pPr>
      <w:r w:rsidRPr="00AE7E92">
        <w:rPr>
          <w:rFonts w:asciiTheme="minorHAnsi" w:hAnsiTheme="minorHAnsi"/>
          <w:color w:val="767171" w:themeColor="background2" w:themeShade="80"/>
          <w:sz w:val="26"/>
          <w:szCs w:val="26"/>
        </w:rPr>
        <w:t xml:space="preserve">Así como dicha determinación es lacónica en citar los antecedentes de la realización de la obra, máxime cuando han transcurrido varios años desde su realización; pues no se hizo mención a la fecha en que fue autorizada, convocada y ejecutada la obra de pavimentación de la calle Piscina, en el caso en concreto; la fecha y número de los Periódicos Oficiales del Gobierno del Estado, en los que se publicó la convocatoria y la base de las cuotas aprobadas; la fecha en que </w:t>
      </w:r>
    </w:p>
    <w:p w:rsidR="00B46241" w:rsidRPr="00421B77" w:rsidRDefault="00B46241" w:rsidP="00B46241">
      <w:pPr>
        <w:pStyle w:val="Sangra3detindependiente"/>
        <w:rPr>
          <w:color w:val="767171" w:themeColor="background2" w:themeShade="80"/>
        </w:rPr>
      </w:pPr>
    </w:p>
    <w:p w:rsidR="00B46241" w:rsidRPr="00421B77" w:rsidRDefault="00B46241" w:rsidP="00B46241">
      <w:pPr>
        <w:ind w:firstLine="708"/>
        <w:jc w:val="right"/>
        <w:rPr>
          <w:rFonts w:ascii="Calibri" w:hAnsi="Calibri"/>
          <w:b/>
          <w:iCs/>
          <w:color w:val="767171" w:themeColor="background2" w:themeShade="80"/>
          <w:sz w:val="26"/>
          <w:szCs w:val="27"/>
        </w:rPr>
      </w:pPr>
      <w:r w:rsidRPr="00421B77">
        <w:rPr>
          <w:rFonts w:ascii="Calibri" w:hAnsi="Calibri"/>
          <w:b/>
          <w:iCs/>
          <w:color w:val="767171" w:themeColor="background2" w:themeShade="80"/>
          <w:sz w:val="26"/>
          <w:szCs w:val="27"/>
        </w:rPr>
        <w:t xml:space="preserve">Expediente número 110/2015-JN </w:t>
      </w:r>
    </w:p>
    <w:p w:rsidR="00B46241" w:rsidRPr="00421B77" w:rsidRDefault="00B46241" w:rsidP="00B46241">
      <w:pPr>
        <w:pStyle w:val="Sangra3detindependiente"/>
        <w:rPr>
          <w:color w:val="767171" w:themeColor="background2" w:themeShade="80"/>
        </w:rPr>
      </w:pPr>
    </w:p>
    <w:p w:rsidR="00B46241" w:rsidRPr="00AE7E92" w:rsidRDefault="00B46241" w:rsidP="00B46241">
      <w:pPr>
        <w:pStyle w:val="Sangra3detindependiente"/>
        <w:jc w:val="both"/>
        <w:rPr>
          <w:rFonts w:asciiTheme="minorHAnsi" w:hAnsiTheme="minorHAnsi"/>
          <w:color w:val="767171" w:themeColor="background2" w:themeShade="80"/>
          <w:sz w:val="26"/>
          <w:szCs w:val="26"/>
        </w:rPr>
      </w:pPr>
      <w:r w:rsidRPr="00AE7E92">
        <w:rPr>
          <w:rFonts w:asciiTheme="minorHAnsi" w:hAnsiTheme="minorHAnsi"/>
          <w:color w:val="767171" w:themeColor="background2" w:themeShade="80"/>
          <w:sz w:val="26"/>
          <w:szCs w:val="26"/>
        </w:rPr>
        <w:t xml:space="preserve">debió cubrirse (pagarse) la contribución; aunado el hecho de que no expusieron claramente las fuentes de las que obtuvo los datos necesarios para realizar las operaciones que conllevaron a determinar la cuantía del crédito </w:t>
      </w:r>
      <w:r w:rsidRPr="00AE7E92">
        <w:rPr>
          <w:rFonts w:asciiTheme="minorHAnsi" w:hAnsiTheme="minorHAnsi"/>
          <w:color w:val="767171" w:themeColor="background2" w:themeShade="80"/>
          <w:sz w:val="26"/>
          <w:szCs w:val="26"/>
        </w:rPr>
        <w:lastRenderedPageBreak/>
        <w:t xml:space="preserve">fiscal y los incrementos, pues no quedó definido por qué se determinó la contribución en la cantidad de $11,437.34 (Once mil cuatrocientos treinta y siete pesos 34/100 Moneda Nacional), cuando el resultado de multiplicar la cantidad de $665.00 (Seiscientos sesenta y cinco pesos 34/100 Moneda Nacional)– que es el costo por metro lineal- por 9 nueve –que son los metros lineales que se dice, tiene de frente la propiedad del justiciable con la calle Piscina-, es únicamente la cantidad de $5,985.00 (Cinco mil novecientos ochenta y cinco pesos 00/100 Moneda Nacional), resultando una diferencia de $5,452.34 (Cinco mil cuatrocientos cincuenta y dos pesos 34/100 Moneda Nacional) que no se indica su origen, no obstante que en el documento controvertido se diga “más incrementos existieran por calle donde se realizó la obra…..”, sin embargo no se detalla o especifica si existieron incrementos y porque conceptos fueron, traduciéndose todo lo antes expuesto, en que, para este juzgador, el documento determinante de crédito combatido, esté indebidamente motivado. . . . . . . . . . . . . . . . . . . . . . . . . . . . . . . . . </w:t>
      </w:r>
    </w:p>
    <w:p w:rsidR="00B46241" w:rsidRPr="00421B77" w:rsidRDefault="00B46241" w:rsidP="00B46241">
      <w:pPr>
        <w:jc w:val="both"/>
        <w:rPr>
          <w:rFonts w:ascii="Calibri" w:hAnsi="Calibri" w:cs="Courier New"/>
          <w:color w:val="767171" w:themeColor="background2" w:themeShade="80"/>
          <w:sz w:val="26"/>
          <w:szCs w:val="27"/>
        </w:rPr>
      </w:pPr>
    </w:p>
    <w:p w:rsidR="00B46241" w:rsidRPr="00421B77" w:rsidRDefault="00B46241" w:rsidP="00B46241">
      <w:pPr>
        <w:ind w:firstLine="708"/>
        <w:jc w:val="both"/>
        <w:rPr>
          <w:rFonts w:ascii="Calibri" w:hAnsi="Calibri" w:cs="Courier New"/>
          <w:color w:val="767171" w:themeColor="background2" w:themeShade="80"/>
          <w:sz w:val="26"/>
          <w:szCs w:val="27"/>
        </w:rPr>
      </w:pPr>
      <w:r w:rsidRPr="00421B77">
        <w:rPr>
          <w:rFonts w:ascii="Calibri" w:hAnsi="Calibri" w:cs="Courier New"/>
          <w:color w:val="767171" w:themeColor="background2" w:themeShade="80"/>
          <w:sz w:val="26"/>
          <w:szCs w:val="27"/>
        </w:rPr>
        <w:t xml:space="preserve">Al caso resulta también adaptable la tesis de Jurisprudencia siguiente: </w:t>
      </w:r>
      <w:proofErr w:type="gramStart"/>
      <w:r w:rsidRPr="00421B77">
        <w:rPr>
          <w:rFonts w:ascii="Calibri" w:hAnsi="Calibri" w:cs="Courier New"/>
          <w:color w:val="767171" w:themeColor="background2" w:themeShade="80"/>
          <w:sz w:val="26"/>
          <w:szCs w:val="27"/>
        </w:rPr>
        <w:t>. . . .</w:t>
      </w:r>
      <w:proofErr w:type="gramEnd"/>
    </w:p>
    <w:p w:rsidR="00B46241" w:rsidRPr="00421B77" w:rsidRDefault="00B46241" w:rsidP="00B46241">
      <w:pPr>
        <w:jc w:val="both"/>
        <w:rPr>
          <w:rFonts w:ascii="Calibri" w:hAnsi="Calibri"/>
          <w:color w:val="767171" w:themeColor="background2" w:themeShade="80"/>
          <w:sz w:val="26"/>
          <w:szCs w:val="27"/>
        </w:rPr>
      </w:pPr>
    </w:p>
    <w:p w:rsidR="00B46241" w:rsidRPr="00421B77" w:rsidRDefault="00B46241" w:rsidP="00B46241">
      <w:pPr>
        <w:ind w:firstLine="708"/>
        <w:jc w:val="both"/>
        <w:rPr>
          <w:rFonts w:ascii="Calibri" w:hAnsi="Calibri"/>
          <w:color w:val="767171" w:themeColor="background2" w:themeShade="80"/>
          <w:sz w:val="22"/>
          <w:szCs w:val="22"/>
        </w:rPr>
      </w:pPr>
      <w:r w:rsidRPr="00421B77">
        <w:rPr>
          <w:rFonts w:ascii="Calibri" w:hAnsi="Calibri"/>
          <w:b/>
          <w:bCs/>
          <w:i/>
          <w:iCs/>
          <w:color w:val="767171" w:themeColor="background2" w:themeShade="80"/>
          <w:sz w:val="26"/>
          <w:szCs w:val="27"/>
        </w:rPr>
        <w:t>“FUNDAMENTACION Y MOTIVACION</w:t>
      </w:r>
      <w:r w:rsidRPr="00421B77">
        <w:rPr>
          <w:rFonts w:ascii="Calibri" w:hAnsi="Calibri"/>
          <w:i/>
          <w:iCs/>
          <w:color w:val="767171" w:themeColor="background2" w:themeShade="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21B77">
        <w:rPr>
          <w:rFonts w:ascii="Calibri" w:hAnsi="Calibri"/>
          <w:i/>
          <w:iCs/>
          <w:color w:val="767171" w:themeColor="background2" w:themeShade="80"/>
          <w:sz w:val="22"/>
          <w:szCs w:val="22"/>
        </w:rPr>
        <w:t>N</w:t>
      </w:r>
      <w:r w:rsidRPr="00421B77">
        <w:rPr>
          <w:rFonts w:ascii="Calibri" w:hAnsi="Calibri"/>
          <w:color w:val="767171" w:themeColor="background2" w:themeShade="80"/>
          <w:sz w:val="22"/>
          <w:szCs w:val="22"/>
        </w:rPr>
        <w:t>o. de Registro: 203,143. Jurisprudencia. Materia(s</w:t>
      </w:r>
      <w:proofErr w:type="gramStart"/>
      <w:r w:rsidRPr="00421B77">
        <w:rPr>
          <w:rFonts w:ascii="Calibri" w:hAnsi="Calibri"/>
          <w:color w:val="767171" w:themeColor="background2" w:themeShade="80"/>
          <w:sz w:val="22"/>
          <w:szCs w:val="22"/>
        </w:rPr>
        <w:t>):Común</w:t>
      </w:r>
      <w:proofErr w:type="gramEnd"/>
      <w:r w:rsidRPr="00421B77">
        <w:rPr>
          <w:rFonts w:ascii="Calibri" w:hAnsi="Calibri"/>
          <w:color w:val="767171" w:themeColor="background2" w:themeShade="80"/>
          <w:sz w:val="22"/>
          <w:szCs w:val="22"/>
        </w:rPr>
        <w:t xml:space="preserve">. Novena Época. Instancia: Tribunales Colegiados de Circuito. Fuente: Semanario Judicial de la Federación y su Gaceta. Tomo: III, </w:t>
      </w:r>
      <w:proofErr w:type="gramStart"/>
      <w:r w:rsidRPr="00421B77">
        <w:rPr>
          <w:rFonts w:ascii="Calibri" w:hAnsi="Calibri"/>
          <w:color w:val="767171" w:themeColor="background2" w:themeShade="80"/>
          <w:sz w:val="22"/>
          <w:szCs w:val="22"/>
        </w:rPr>
        <w:t>Marzo</w:t>
      </w:r>
      <w:proofErr w:type="gramEnd"/>
      <w:r w:rsidRPr="00421B77">
        <w:rPr>
          <w:rFonts w:ascii="Calibri" w:hAnsi="Calibri"/>
          <w:color w:val="767171" w:themeColor="background2" w:themeShade="80"/>
          <w:sz w:val="22"/>
          <w:szCs w:val="22"/>
        </w:rPr>
        <w:t xml:space="preserve"> de 1996. Tesis: VI. 2o. J/43. Página: 769</w:t>
      </w:r>
      <w:r w:rsidRPr="00421B77">
        <w:rPr>
          <w:rFonts w:ascii="Calibri" w:hAnsi="Calibri"/>
          <w:color w:val="767171" w:themeColor="background2" w:themeShade="80"/>
          <w:sz w:val="26"/>
          <w:szCs w:val="27"/>
        </w:rPr>
        <w:t xml:space="preserve">. . . . . . . . . . . . . . . . . . . . . . . . . . . . . . . . . . . . </w:t>
      </w:r>
    </w:p>
    <w:p w:rsidR="00B46241" w:rsidRPr="00421B77" w:rsidRDefault="00B46241" w:rsidP="00B46241">
      <w:pPr>
        <w:pStyle w:val="Textoindependiente"/>
        <w:rPr>
          <w:rFonts w:ascii="Calibri" w:hAnsi="Calibri" w:cs="Arial"/>
          <w:color w:val="767171" w:themeColor="background2" w:themeShade="80"/>
          <w:sz w:val="26"/>
          <w:szCs w:val="26"/>
        </w:rPr>
      </w:pPr>
    </w:p>
    <w:p w:rsidR="00B46241" w:rsidRPr="00421B77" w:rsidRDefault="00B46241" w:rsidP="00B46241">
      <w:pPr>
        <w:ind w:firstLine="708"/>
        <w:jc w:val="both"/>
        <w:rPr>
          <w:rFonts w:ascii="Calibri" w:hAnsi="Calibri"/>
          <w:b/>
          <w:bCs/>
          <w:color w:val="767171" w:themeColor="background2" w:themeShade="80"/>
          <w:sz w:val="26"/>
          <w:szCs w:val="27"/>
        </w:rPr>
      </w:pPr>
      <w:r w:rsidRPr="00421B77">
        <w:rPr>
          <w:rFonts w:ascii="Calibri" w:hAnsi="Calibri" w:cs="Arial"/>
          <w:color w:val="767171" w:themeColor="background2" w:themeShade="80"/>
          <w:sz w:val="26"/>
          <w:szCs w:val="26"/>
        </w:rPr>
        <w:t xml:space="preserve">Es por lo antes razonado, que al resultar </w:t>
      </w:r>
      <w:r w:rsidRPr="00421B77">
        <w:rPr>
          <w:rFonts w:ascii="Calibri" w:hAnsi="Calibri" w:cs="Arial"/>
          <w:bCs/>
          <w:color w:val="767171" w:themeColor="background2" w:themeShade="80"/>
          <w:sz w:val="26"/>
          <w:szCs w:val="26"/>
        </w:rPr>
        <w:t xml:space="preserve">fundado lo expresado por la parte actora, como </w:t>
      </w:r>
      <w:r w:rsidRPr="00421B77">
        <w:rPr>
          <w:rFonts w:ascii="Calibri" w:hAnsi="Calibri" w:cs="Arial"/>
          <w:color w:val="767171" w:themeColor="background2" w:themeShade="80"/>
          <w:sz w:val="26"/>
          <w:szCs w:val="26"/>
        </w:rPr>
        <w:t xml:space="preserve">conceptos de impugnación; con fundamento en la fracción II del artículo 302 del Código de Procedimiento y Justicia Administrativa para el Estado y los Municipios de Guanajuato, se declara la </w:t>
      </w:r>
      <w:r w:rsidRPr="00421B77">
        <w:rPr>
          <w:rFonts w:ascii="Calibri" w:hAnsi="Calibri" w:cs="Arial"/>
          <w:b/>
          <w:color w:val="767171" w:themeColor="background2" w:themeShade="80"/>
          <w:sz w:val="26"/>
          <w:szCs w:val="26"/>
        </w:rPr>
        <w:t xml:space="preserve">nulidad total </w:t>
      </w:r>
      <w:r w:rsidRPr="00421B77">
        <w:rPr>
          <w:rFonts w:ascii="Calibri" w:hAnsi="Calibri" w:cs="Arial"/>
          <w:color w:val="767171" w:themeColor="background2" w:themeShade="80"/>
          <w:sz w:val="26"/>
          <w:szCs w:val="26"/>
        </w:rPr>
        <w:t>de</w:t>
      </w:r>
      <w:r w:rsidRPr="00421B77">
        <w:rPr>
          <w:rFonts w:ascii="Calibri" w:hAnsi="Calibri"/>
          <w:bCs/>
          <w:color w:val="767171" w:themeColor="background2" w:themeShade="80"/>
          <w:sz w:val="26"/>
          <w:szCs w:val="27"/>
        </w:rPr>
        <w:t>l documento determinante del crédito de fecha 19 diecinueve de septiembre del año 2014 dos mil catorce, identificado con el número de crédito 3803050001016, por la cantidad de $11,437.34 (Once mil cuatrocientos treinta y siete pesos 34/100 Moneda Nacional),</w:t>
      </w:r>
      <w:r w:rsidRPr="00421B77">
        <w:rPr>
          <w:rFonts w:ascii="Calibri" w:hAnsi="Calibri"/>
          <w:b/>
          <w:bCs/>
          <w:color w:val="767171" w:themeColor="background2" w:themeShade="80"/>
          <w:sz w:val="26"/>
          <w:szCs w:val="27"/>
        </w:rPr>
        <w:t xml:space="preserve"> respecto de la contribución por la ejecución de obras públicas, </w:t>
      </w:r>
      <w:r w:rsidRPr="00421B77">
        <w:rPr>
          <w:rFonts w:ascii="Calibri" w:hAnsi="Calibri"/>
          <w:bCs/>
          <w:color w:val="767171" w:themeColor="background2" w:themeShade="80"/>
          <w:sz w:val="26"/>
          <w:szCs w:val="27"/>
        </w:rPr>
        <w:t xml:space="preserve">con las que resulto beneficiado el inmueble ubicado en </w:t>
      </w:r>
      <w:r w:rsidRPr="00AE7E92">
        <w:rPr>
          <w:rFonts w:ascii="Calibri" w:hAnsi="Calibri"/>
          <w:bCs/>
          <w:color w:val="767171" w:themeColor="background2" w:themeShade="80"/>
          <w:sz w:val="26"/>
          <w:szCs w:val="27"/>
        </w:rPr>
        <w:t>calle *****de esta ciudad</w:t>
      </w:r>
      <w:r w:rsidRPr="00421B77">
        <w:rPr>
          <w:rFonts w:ascii="Calibri" w:hAnsi="Calibri"/>
          <w:bCs/>
          <w:color w:val="767171" w:themeColor="background2" w:themeShade="80"/>
          <w:sz w:val="26"/>
          <w:szCs w:val="27"/>
        </w:rPr>
        <w:t>. . . . . . . . . . . . . . . . . . . . . . . . . . . . . . . . . . . . . . . . . . . . . . . . . . . . . . . . . . . . . . . .</w:t>
      </w:r>
    </w:p>
    <w:p w:rsidR="00B46241" w:rsidRPr="00421B77" w:rsidRDefault="00B46241" w:rsidP="00B46241">
      <w:pPr>
        <w:jc w:val="both"/>
        <w:rPr>
          <w:rFonts w:ascii="Calibri" w:hAnsi="Calibri"/>
          <w:bCs/>
          <w:color w:val="767171" w:themeColor="background2" w:themeShade="80"/>
          <w:sz w:val="26"/>
          <w:szCs w:val="27"/>
        </w:rPr>
      </w:pPr>
    </w:p>
    <w:p w:rsidR="00B46241" w:rsidRPr="00421B77" w:rsidRDefault="00B46241" w:rsidP="00B46241">
      <w:pPr>
        <w:pStyle w:val="Sangradetextonormal"/>
        <w:ind w:left="0" w:firstLine="708"/>
        <w:jc w:val="both"/>
        <w:rPr>
          <w:rFonts w:ascii="Calibri" w:hAnsi="Calibri"/>
          <w:color w:val="767171" w:themeColor="background2" w:themeShade="80"/>
          <w:sz w:val="26"/>
          <w:szCs w:val="26"/>
          <w:lang w:eastAsia="es-MX"/>
        </w:rPr>
      </w:pPr>
      <w:r w:rsidRPr="00421B77">
        <w:rPr>
          <w:rFonts w:ascii="Calibri" w:hAnsi="Calibri"/>
          <w:color w:val="767171" w:themeColor="background2" w:themeShade="80"/>
          <w:sz w:val="26"/>
          <w:szCs w:val="26"/>
          <w:lang w:eastAsia="es-MX"/>
        </w:rPr>
        <w:t xml:space="preserve">Por último, en relación a las excepciones y defensas que opuso la autoridad demandada, </w:t>
      </w:r>
      <w:proofErr w:type="gramStart"/>
      <w:r w:rsidRPr="00421B77">
        <w:rPr>
          <w:rFonts w:ascii="Calibri" w:hAnsi="Calibri"/>
          <w:color w:val="767171" w:themeColor="background2" w:themeShade="80"/>
          <w:sz w:val="26"/>
          <w:szCs w:val="26"/>
          <w:lang w:eastAsia="es-MX"/>
        </w:rPr>
        <w:t>se  expresa</w:t>
      </w:r>
      <w:proofErr w:type="gramEnd"/>
      <w:r w:rsidRPr="00421B77">
        <w:rPr>
          <w:rFonts w:ascii="Calibri" w:hAnsi="Calibri"/>
          <w:color w:val="767171" w:themeColor="background2" w:themeShade="80"/>
          <w:sz w:val="26"/>
          <w:szCs w:val="26"/>
          <w:lang w:eastAsia="es-MX"/>
        </w:rPr>
        <w:t xml:space="preserve"> lo siguiente: . . . . . . . . . . . . . . . . . . . . . . . . . . . . . </w:t>
      </w:r>
    </w:p>
    <w:p w:rsidR="00B46241" w:rsidRPr="00421B77" w:rsidRDefault="00B46241" w:rsidP="00B46241">
      <w:pPr>
        <w:pStyle w:val="Textoindependiente"/>
        <w:ind w:firstLine="708"/>
        <w:rPr>
          <w:rFonts w:ascii="Calibri" w:hAnsi="Calibri" w:cs="Calibri"/>
          <w:color w:val="767171" w:themeColor="background2" w:themeShade="80"/>
          <w:sz w:val="26"/>
          <w:szCs w:val="26"/>
          <w:lang w:val="es-ES"/>
        </w:rPr>
      </w:pPr>
    </w:p>
    <w:p w:rsidR="00B46241" w:rsidRPr="00421B77" w:rsidRDefault="00B46241" w:rsidP="00B46241">
      <w:pPr>
        <w:pStyle w:val="Textoindependiente"/>
        <w:rPr>
          <w:rFonts w:ascii="Calibri" w:hAnsi="Calibri"/>
          <w:color w:val="767171" w:themeColor="background2" w:themeShade="80"/>
          <w:sz w:val="26"/>
        </w:rPr>
      </w:pPr>
      <w:r w:rsidRPr="00421B77">
        <w:rPr>
          <w:rFonts w:ascii="Calibri" w:hAnsi="Calibri" w:cs="Calibri"/>
          <w:color w:val="767171" w:themeColor="background2" w:themeShade="80"/>
          <w:sz w:val="26"/>
          <w:szCs w:val="26"/>
        </w:rPr>
        <w:lastRenderedPageBreak/>
        <w:tab/>
        <w:t>a</w:t>
      </w:r>
      <w:proofErr w:type="gramStart"/>
      <w:r w:rsidRPr="00421B77">
        <w:rPr>
          <w:rFonts w:ascii="Calibri" w:hAnsi="Calibri" w:cs="Calibri"/>
          <w:color w:val="767171" w:themeColor="background2" w:themeShade="80"/>
          <w:sz w:val="26"/>
          <w:szCs w:val="26"/>
        </w:rPr>
        <w:t>).-</w:t>
      </w:r>
      <w:proofErr w:type="gramEnd"/>
      <w:r w:rsidRPr="00421B77">
        <w:rPr>
          <w:rFonts w:ascii="Calibri" w:hAnsi="Calibri" w:cs="Calibri"/>
          <w:color w:val="767171" w:themeColor="background2" w:themeShade="80"/>
          <w:sz w:val="26"/>
          <w:szCs w:val="26"/>
        </w:rPr>
        <w:t xml:space="preserve"> Tocante a la excepción de que los actos cumplen con los requisitos de existencia y validez; no opera tal excepción, toda vez que los actos impugnados no cumplen con tales requisitos y por ende, procedió decretar su nulidad total, tal y como se expresó en el presente Considerando. </w:t>
      </w:r>
      <w:r w:rsidRPr="00421B77">
        <w:rPr>
          <w:rFonts w:ascii="Calibri" w:hAnsi="Calibri"/>
          <w:color w:val="767171" w:themeColor="background2" w:themeShade="80"/>
          <w:sz w:val="26"/>
        </w:rPr>
        <w:t>. . . . . . . . . . . . . . . . . . . . . . . . .</w:t>
      </w:r>
    </w:p>
    <w:p w:rsidR="00B46241" w:rsidRPr="00421B77" w:rsidRDefault="00B46241" w:rsidP="00B46241">
      <w:pPr>
        <w:pStyle w:val="Textoindependiente"/>
        <w:rPr>
          <w:rFonts w:ascii="Calibri" w:hAnsi="Calibri" w:cs="Calibri"/>
          <w:color w:val="767171" w:themeColor="background2" w:themeShade="80"/>
          <w:sz w:val="26"/>
          <w:szCs w:val="26"/>
        </w:rPr>
      </w:pPr>
    </w:p>
    <w:p w:rsidR="00B46241" w:rsidRPr="00421B77" w:rsidRDefault="00B46241" w:rsidP="00B46241">
      <w:pPr>
        <w:pStyle w:val="Textoindependiente"/>
        <w:ind w:firstLine="708"/>
        <w:rPr>
          <w:rFonts w:ascii="Calibri" w:hAnsi="Calibri" w:cs="Calibri"/>
          <w:color w:val="767171" w:themeColor="background2" w:themeShade="80"/>
          <w:sz w:val="26"/>
          <w:szCs w:val="26"/>
        </w:rPr>
      </w:pPr>
      <w:r w:rsidRPr="00421B77">
        <w:rPr>
          <w:rFonts w:ascii="Calibri" w:hAnsi="Calibri" w:cs="Calibri"/>
          <w:color w:val="767171" w:themeColor="background2" w:themeShade="80"/>
          <w:sz w:val="26"/>
          <w:szCs w:val="26"/>
        </w:rPr>
        <w:t>b).- Respecto de la excepción de improcedencia; que deriva de las fracciones I y VI del artículo 261 del Código de Procedimiento y Justicia Administrativa para el Estado y los Municipios de Guanajuato; así como de la excepción de no afectación a los intereses jurídicos de la parte actora; tampoco operan dichas excepciones, pues ya se hizo el estudio correspondiente en el considerando Cuarto del presente fallo; procediendo únicamente una de esas causales, respecto de la Tesorería Municipal . . . . . . . . . . . . . . . . . . . . . . . . . . . . . . .</w:t>
      </w:r>
    </w:p>
    <w:p w:rsidR="00B46241" w:rsidRPr="00421B77" w:rsidRDefault="00B46241" w:rsidP="00B46241">
      <w:pPr>
        <w:pStyle w:val="Textoindependiente"/>
        <w:rPr>
          <w:rFonts w:ascii="Calibri" w:hAnsi="Calibri" w:cs="Calibri"/>
          <w:color w:val="767171" w:themeColor="background2" w:themeShade="80"/>
          <w:sz w:val="26"/>
          <w:szCs w:val="26"/>
        </w:rPr>
      </w:pPr>
    </w:p>
    <w:p w:rsidR="00B46241" w:rsidRPr="00421B77" w:rsidRDefault="00B46241" w:rsidP="00B46241">
      <w:pPr>
        <w:pStyle w:val="Textoindependiente"/>
        <w:rPr>
          <w:rFonts w:ascii="Calibri" w:hAnsi="Calibri" w:cs="Calibri"/>
          <w:color w:val="767171" w:themeColor="background2" w:themeShade="80"/>
          <w:sz w:val="26"/>
          <w:szCs w:val="26"/>
        </w:rPr>
      </w:pPr>
      <w:r w:rsidRPr="00421B77">
        <w:rPr>
          <w:rFonts w:ascii="Calibri" w:hAnsi="Calibri" w:cs="Calibri"/>
          <w:color w:val="767171" w:themeColor="background2" w:themeShade="80"/>
          <w:sz w:val="26"/>
          <w:szCs w:val="26"/>
        </w:rPr>
        <w:tab/>
        <w:t xml:space="preserve">c).- De igual manera tampoco opera la defensa de la </w:t>
      </w:r>
      <w:r w:rsidRPr="00421B77">
        <w:rPr>
          <w:rFonts w:ascii="Calibri" w:hAnsi="Calibri" w:cs="Calibri"/>
          <w:i/>
          <w:color w:val="767171" w:themeColor="background2" w:themeShade="80"/>
          <w:sz w:val="26"/>
          <w:szCs w:val="26"/>
        </w:rPr>
        <w:t xml:space="preserve">“Non </w:t>
      </w:r>
      <w:proofErr w:type="spellStart"/>
      <w:r w:rsidRPr="00421B77">
        <w:rPr>
          <w:rFonts w:ascii="Calibri" w:hAnsi="Calibri" w:cs="Calibri"/>
          <w:i/>
          <w:color w:val="767171" w:themeColor="background2" w:themeShade="80"/>
          <w:sz w:val="26"/>
          <w:szCs w:val="26"/>
        </w:rPr>
        <w:t>Mutati</w:t>
      </w:r>
      <w:proofErr w:type="spellEnd"/>
      <w:r w:rsidRPr="00421B77">
        <w:rPr>
          <w:rFonts w:ascii="Calibri" w:hAnsi="Calibri" w:cs="Calibri"/>
          <w:i/>
          <w:color w:val="767171" w:themeColor="background2" w:themeShade="80"/>
          <w:sz w:val="26"/>
          <w:szCs w:val="26"/>
        </w:rPr>
        <w:t xml:space="preserve"> </w:t>
      </w:r>
      <w:proofErr w:type="spellStart"/>
      <w:r w:rsidRPr="00421B77">
        <w:rPr>
          <w:rFonts w:ascii="Calibri" w:hAnsi="Calibri" w:cs="Calibri"/>
          <w:i/>
          <w:color w:val="767171" w:themeColor="background2" w:themeShade="80"/>
          <w:sz w:val="26"/>
          <w:szCs w:val="26"/>
        </w:rPr>
        <w:t>Libeli</w:t>
      </w:r>
      <w:proofErr w:type="spellEnd"/>
      <w:r w:rsidRPr="00421B77">
        <w:rPr>
          <w:rFonts w:ascii="Calibri" w:hAnsi="Calibri" w:cs="Calibri"/>
          <w:i/>
          <w:color w:val="767171" w:themeColor="background2" w:themeShade="80"/>
          <w:sz w:val="26"/>
          <w:szCs w:val="26"/>
        </w:rPr>
        <w:t>”</w:t>
      </w:r>
      <w:r w:rsidRPr="00421B77">
        <w:rPr>
          <w:rFonts w:ascii="Calibri" w:hAnsi="Calibri" w:cs="Calibri"/>
          <w:color w:val="767171" w:themeColor="background2" w:themeShade="80"/>
          <w:sz w:val="26"/>
          <w:szCs w:val="26"/>
        </w:rPr>
        <w:t xml:space="preserve">, toda vez que la demandada </w:t>
      </w:r>
      <w:r w:rsidRPr="00421B77">
        <w:rPr>
          <w:rFonts w:ascii="Calibri" w:hAnsi="Calibri" w:cs="Calibri"/>
          <w:b/>
          <w:color w:val="767171" w:themeColor="background2" w:themeShade="80"/>
          <w:sz w:val="26"/>
          <w:szCs w:val="26"/>
        </w:rPr>
        <w:t>olvida</w:t>
      </w:r>
      <w:r w:rsidRPr="00421B77">
        <w:rPr>
          <w:rFonts w:ascii="Calibri" w:hAnsi="Calibri" w:cs="Calibri"/>
          <w:color w:val="767171" w:themeColor="background2" w:themeShade="80"/>
          <w:sz w:val="26"/>
          <w:szCs w:val="26"/>
        </w:rPr>
        <w:t xml:space="preserve"> que en un proceso administrativo, la actora sólo puede perfeccionar su demanda ya sea aclarándola, corrigiéndola o bien, completándola a requerimiento de este Órgano Jurisdiccional, de acuerdo a lo establecido por el artículo 265 del ya citado Código de Procedimiento y Justicia Administrativa. . . . . . . . . . . . . . . . . . . . . . . . . . . . . . . . . . . . . . . . . . . . . . . . . . . . . . . . . </w:t>
      </w:r>
    </w:p>
    <w:p w:rsidR="00B46241" w:rsidRPr="00421B77" w:rsidRDefault="00B46241" w:rsidP="00B46241">
      <w:pPr>
        <w:ind w:firstLine="708"/>
        <w:jc w:val="both"/>
        <w:rPr>
          <w:rFonts w:ascii="Calibri" w:hAnsi="Calibri"/>
          <w:bCs/>
          <w:color w:val="767171" w:themeColor="background2" w:themeShade="80"/>
          <w:sz w:val="26"/>
          <w:szCs w:val="27"/>
        </w:rPr>
      </w:pPr>
    </w:p>
    <w:p w:rsidR="00B46241" w:rsidRPr="00421B77" w:rsidRDefault="00B46241" w:rsidP="00B46241">
      <w:pPr>
        <w:ind w:firstLine="708"/>
        <w:jc w:val="both"/>
        <w:rPr>
          <w:rFonts w:ascii="Calibri" w:hAnsi="Calibri"/>
          <w:bCs/>
          <w:color w:val="767171" w:themeColor="background2" w:themeShade="80"/>
          <w:sz w:val="26"/>
          <w:szCs w:val="27"/>
        </w:rPr>
      </w:pPr>
      <w:r w:rsidRPr="00421B77">
        <w:rPr>
          <w:rFonts w:ascii="Calibri" w:hAnsi="Calibri"/>
          <w:bCs/>
          <w:color w:val="767171" w:themeColor="background2" w:themeShade="80"/>
          <w:sz w:val="26"/>
          <w:szCs w:val="27"/>
        </w:rPr>
        <w:t xml:space="preserve">d) No desprendiéndose, a juicio de quien resuelve, alguna otra excepción derivada de los escritos de contestación. </w:t>
      </w:r>
      <w:r w:rsidRPr="00421B77">
        <w:rPr>
          <w:rFonts w:ascii="Calibri" w:hAnsi="Calibri"/>
          <w:color w:val="767171" w:themeColor="background2" w:themeShade="80"/>
          <w:sz w:val="26"/>
        </w:rPr>
        <w:t xml:space="preserve">. . . . . . . . . . . . . . . . . . . . . . . . . . . . . </w:t>
      </w:r>
      <w:proofErr w:type="gramStart"/>
      <w:r w:rsidRPr="00421B77">
        <w:rPr>
          <w:rFonts w:ascii="Calibri" w:hAnsi="Calibri"/>
          <w:color w:val="767171" w:themeColor="background2" w:themeShade="80"/>
          <w:sz w:val="26"/>
        </w:rPr>
        <w:t>. . . .</w:t>
      </w:r>
      <w:proofErr w:type="gramEnd"/>
      <w:r w:rsidRPr="00421B77">
        <w:rPr>
          <w:rFonts w:ascii="Calibri" w:hAnsi="Calibri"/>
          <w:color w:val="767171" w:themeColor="background2" w:themeShade="80"/>
          <w:sz w:val="26"/>
        </w:rPr>
        <w:t xml:space="preserve"> . </w:t>
      </w:r>
    </w:p>
    <w:p w:rsidR="00B46241" w:rsidRPr="00421B77" w:rsidRDefault="00B46241" w:rsidP="00B46241">
      <w:pPr>
        <w:ind w:firstLine="708"/>
        <w:jc w:val="both"/>
        <w:rPr>
          <w:rFonts w:ascii="Calibri" w:hAnsi="Calibri"/>
          <w:bCs/>
          <w:color w:val="767171" w:themeColor="background2" w:themeShade="80"/>
          <w:sz w:val="26"/>
          <w:szCs w:val="27"/>
        </w:rPr>
      </w:pPr>
    </w:p>
    <w:p w:rsidR="00B46241" w:rsidRPr="00421B77" w:rsidRDefault="00B46241" w:rsidP="00B46241">
      <w:pPr>
        <w:pStyle w:val="Textoindependiente"/>
        <w:ind w:firstLine="708"/>
        <w:rPr>
          <w:rFonts w:ascii="Calibri" w:hAnsi="Calibri" w:cs="Arial"/>
          <w:color w:val="767171" w:themeColor="background2" w:themeShade="80"/>
          <w:sz w:val="26"/>
          <w:szCs w:val="27"/>
        </w:rPr>
      </w:pPr>
      <w:proofErr w:type="gramStart"/>
      <w:r w:rsidRPr="00421B77">
        <w:rPr>
          <w:rFonts w:ascii="Calibri" w:hAnsi="Calibri"/>
          <w:b/>
          <w:i/>
          <w:color w:val="767171" w:themeColor="background2" w:themeShade="80"/>
          <w:sz w:val="26"/>
          <w:szCs w:val="26"/>
        </w:rPr>
        <w:t>SÉPTIMO.-</w:t>
      </w:r>
      <w:proofErr w:type="gramEnd"/>
      <w:r w:rsidRPr="00421B77">
        <w:rPr>
          <w:rFonts w:ascii="Calibri" w:hAnsi="Calibri"/>
          <w:b/>
          <w:i/>
          <w:color w:val="767171" w:themeColor="background2" w:themeShade="80"/>
          <w:sz w:val="26"/>
          <w:szCs w:val="26"/>
        </w:rPr>
        <w:t xml:space="preserve"> </w:t>
      </w:r>
      <w:r w:rsidRPr="00421B77">
        <w:rPr>
          <w:rFonts w:ascii="Calibri" w:hAnsi="Calibri" w:cs="Arial"/>
          <w:color w:val="767171" w:themeColor="background2" w:themeShade="80"/>
          <w:sz w:val="26"/>
          <w:szCs w:val="27"/>
        </w:rPr>
        <w:t xml:space="preserve">En virtud de que el concepto de impugnación analizado, resultó fundado y es suficiente para declarar la nulidad total del acto impugnado; resulta innecesario el estudio de los restantes esgrimidos por la justiciable, ya que su análisis no afectaría ni variaría el sentido de esta resolución. . . . . . . . . . . . . . . . . . .  </w:t>
      </w:r>
    </w:p>
    <w:p w:rsidR="00B46241" w:rsidRPr="00421B77" w:rsidRDefault="00B46241" w:rsidP="00B46241">
      <w:pPr>
        <w:pStyle w:val="Textoindependiente"/>
        <w:rPr>
          <w:rFonts w:ascii="Calibri" w:hAnsi="Calibri" w:cs="Arial"/>
          <w:color w:val="767171" w:themeColor="background2" w:themeShade="80"/>
          <w:sz w:val="26"/>
          <w:szCs w:val="27"/>
        </w:rPr>
      </w:pPr>
    </w:p>
    <w:p w:rsidR="00B46241" w:rsidRPr="00421B77" w:rsidRDefault="00B46241" w:rsidP="00B46241">
      <w:pPr>
        <w:pStyle w:val="Textoindependiente"/>
        <w:ind w:firstLine="708"/>
        <w:rPr>
          <w:rFonts w:ascii="Calibri" w:hAnsi="Calibri" w:cs="Arial"/>
          <w:color w:val="767171" w:themeColor="background2" w:themeShade="80"/>
          <w:sz w:val="26"/>
          <w:szCs w:val="27"/>
        </w:rPr>
      </w:pPr>
      <w:r w:rsidRPr="00421B77">
        <w:rPr>
          <w:rFonts w:ascii="Calibri" w:hAnsi="Calibri" w:cs="Arial"/>
          <w:color w:val="767171" w:themeColor="background2" w:themeShade="80"/>
          <w:sz w:val="26"/>
          <w:szCs w:val="27"/>
        </w:rPr>
        <w:t xml:space="preserve">Sirve de apoyo a lo anterior la tesis de jurisprudencia que a la letra señala: </w:t>
      </w:r>
    </w:p>
    <w:p w:rsidR="00B46241" w:rsidRPr="00421B77" w:rsidRDefault="00B46241" w:rsidP="00B46241">
      <w:pPr>
        <w:pStyle w:val="Textoindependiente"/>
        <w:rPr>
          <w:rFonts w:ascii="Calibri" w:hAnsi="Calibri"/>
          <w:b/>
          <w:bCs/>
          <w:i/>
          <w:iCs/>
          <w:color w:val="767171" w:themeColor="background2" w:themeShade="80"/>
          <w:sz w:val="26"/>
          <w:szCs w:val="27"/>
        </w:rPr>
      </w:pPr>
    </w:p>
    <w:p w:rsidR="00B46241" w:rsidRPr="00421B77" w:rsidRDefault="00B46241" w:rsidP="00B46241">
      <w:pPr>
        <w:pStyle w:val="Textoindependiente"/>
        <w:ind w:firstLine="708"/>
        <w:rPr>
          <w:rFonts w:ascii="Calibri" w:hAnsi="Calibri"/>
          <w:color w:val="767171" w:themeColor="background2" w:themeShade="80"/>
          <w:sz w:val="26"/>
          <w:szCs w:val="26"/>
        </w:rPr>
      </w:pPr>
      <w:r w:rsidRPr="00421B77">
        <w:rPr>
          <w:rFonts w:ascii="Calibri" w:hAnsi="Calibri"/>
          <w:b/>
          <w:bCs/>
          <w:i/>
          <w:iCs/>
          <w:color w:val="767171" w:themeColor="background2" w:themeShade="80"/>
          <w:sz w:val="26"/>
          <w:szCs w:val="27"/>
        </w:rPr>
        <w:t xml:space="preserve">“CONCEPTOS DE VIOLACION. CUANDO SU ESTUDIO ES INNECESARIO. </w:t>
      </w:r>
      <w:r w:rsidRPr="00421B7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1B7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21B77">
        <w:rPr>
          <w:rFonts w:ascii="Calibri" w:hAnsi="Calibri"/>
          <w:color w:val="767171" w:themeColor="background2" w:themeShade="80"/>
          <w:sz w:val="22"/>
          <w:szCs w:val="22"/>
        </w:rPr>
        <w:t xml:space="preserve">Fuente: Semanario Judicial de la Federación. I, </w:t>
      </w:r>
      <w:proofErr w:type="gramStart"/>
      <w:r w:rsidRPr="00421B77">
        <w:rPr>
          <w:rFonts w:ascii="Calibri" w:hAnsi="Calibri"/>
          <w:color w:val="767171" w:themeColor="background2" w:themeShade="80"/>
          <w:sz w:val="22"/>
          <w:szCs w:val="22"/>
        </w:rPr>
        <w:t>Abril</w:t>
      </w:r>
      <w:proofErr w:type="gramEnd"/>
      <w:r w:rsidRPr="00421B77">
        <w:rPr>
          <w:rFonts w:ascii="Calibri" w:hAnsi="Calibri"/>
          <w:color w:val="767171" w:themeColor="background2" w:themeShade="80"/>
          <w:sz w:val="22"/>
          <w:szCs w:val="22"/>
        </w:rPr>
        <w:t xml:space="preserve"> de 1991. Tesis: V.2o. J/7. Página: 86. Genealogía: Gaceta número 40, </w:t>
      </w:r>
      <w:proofErr w:type="gramStart"/>
      <w:r w:rsidRPr="00421B77">
        <w:rPr>
          <w:rFonts w:ascii="Calibri" w:hAnsi="Calibri"/>
          <w:color w:val="767171" w:themeColor="background2" w:themeShade="80"/>
          <w:sz w:val="22"/>
          <w:szCs w:val="22"/>
        </w:rPr>
        <w:t>Abril</w:t>
      </w:r>
      <w:proofErr w:type="gramEnd"/>
      <w:r w:rsidRPr="00421B77">
        <w:rPr>
          <w:rFonts w:ascii="Calibri" w:hAnsi="Calibri"/>
          <w:color w:val="767171" w:themeColor="background2" w:themeShade="80"/>
          <w:sz w:val="22"/>
          <w:szCs w:val="22"/>
        </w:rPr>
        <w:t xml:space="preserve"> de 1991, página 125</w:t>
      </w:r>
      <w:r w:rsidRPr="00421B77">
        <w:rPr>
          <w:rFonts w:ascii="Calibri" w:hAnsi="Calibri"/>
          <w:color w:val="767171" w:themeColor="background2" w:themeShade="80"/>
          <w:sz w:val="26"/>
          <w:szCs w:val="26"/>
        </w:rPr>
        <w:t xml:space="preserve"> . . . . . . . . . . . . . . . . . . . . . . . . . . . . . . . . . . . . </w:t>
      </w:r>
    </w:p>
    <w:p w:rsidR="00B46241" w:rsidRPr="00421B77" w:rsidRDefault="00B46241" w:rsidP="00B46241">
      <w:pPr>
        <w:pStyle w:val="Textoindependiente"/>
        <w:ind w:firstLine="708"/>
        <w:rPr>
          <w:rFonts w:ascii="Calibri" w:hAnsi="Calibri"/>
          <w:color w:val="767171" w:themeColor="background2" w:themeShade="80"/>
          <w:sz w:val="26"/>
          <w:szCs w:val="26"/>
        </w:rPr>
      </w:pPr>
    </w:p>
    <w:p w:rsidR="00B46241" w:rsidRPr="00421B77" w:rsidRDefault="00B46241" w:rsidP="00B46241">
      <w:pPr>
        <w:pStyle w:val="Textoindependiente"/>
        <w:ind w:firstLine="708"/>
        <w:rPr>
          <w:rFonts w:ascii="Calibri" w:hAnsi="Calibri"/>
          <w:color w:val="767171" w:themeColor="background2" w:themeShade="80"/>
          <w:sz w:val="26"/>
          <w:szCs w:val="27"/>
        </w:rPr>
      </w:pPr>
      <w:proofErr w:type="gramStart"/>
      <w:r w:rsidRPr="00421B77">
        <w:rPr>
          <w:rFonts w:ascii="Calibri" w:hAnsi="Calibri"/>
          <w:b/>
          <w:i/>
          <w:color w:val="767171" w:themeColor="background2" w:themeShade="80"/>
          <w:sz w:val="26"/>
          <w:szCs w:val="26"/>
        </w:rPr>
        <w:lastRenderedPageBreak/>
        <w:t>OCTAVO.-</w:t>
      </w:r>
      <w:proofErr w:type="gramEnd"/>
      <w:r w:rsidRPr="00421B77">
        <w:rPr>
          <w:rFonts w:ascii="Calibri" w:hAnsi="Calibri"/>
          <w:b/>
          <w:i/>
          <w:color w:val="767171" w:themeColor="background2" w:themeShade="80"/>
          <w:sz w:val="26"/>
          <w:szCs w:val="26"/>
        </w:rPr>
        <w:t xml:space="preserve"> </w:t>
      </w:r>
      <w:r w:rsidRPr="00421B77">
        <w:rPr>
          <w:rFonts w:ascii="Calibri" w:hAnsi="Calibri"/>
          <w:color w:val="767171" w:themeColor="background2" w:themeShade="80"/>
          <w:sz w:val="26"/>
          <w:szCs w:val="26"/>
        </w:rPr>
        <w:t>De lo solicitado por la parte actora, se encuentra también</w:t>
      </w:r>
      <w:r w:rsidRPr="00421B77">
        <w:rPr>
          <w:rFonts w:ascii="Calibri" w:hAnsi="Calibri"/>
          <w:color w:val="767171" w:themeColor="background2" w:themeShade="80"/>
          <w:sz w:val="22"/>
          <w:szCs w:val="26"/>
        </w:rPr>
        <w:t xml:space="preserve">, </w:t>
      </w:r>
      <w:r w:rsidRPr="00421B77">
        <w:rPr>
          <w:rFonts w:ascii="Calibri" w:hAnsi="Calibri"/>
          <w:color w:val="767171" w:themeColor="background2" w:themeShade="80"/>
          <w:sz w:val="26"/>
          <w:szCs w:val="26"/>
        </w:rPr>
        <w:t>el</w:t>
      </w:r>
      <w:r w:rsidRPr="00421B77">
        <w:rPr>
          <w:rFonts w:ascii="Calibri" w:hAnsi="Calibri"/>
          <w:color w:val="767171" w:themeColor="background2" w:themeShade="80"/>
          <w:sz w:val="26"/>
          <w:szCs w:val="27"/>
        </w:rPr>
        <w:t xml:space="preserve"> reconocimiento del derecho a que no se vuelva a emitir el acto impugnado. . . . . . </w:t>
      </w:r>
    </w:p>
    <w:p w:rsidR="00B46241" w:rsidRPr="00421B77" w:rsidRDefault="00B46241" w:rsidP="00B46241">
      <w:pPr>
        <w:pStyle w:val="Textoindependiente"/>
        <w:rPr>
          <w:rFonts w:ascii="Calibri" w:hAnsi="Calibri"/>
          <w:color w:val="767171" w:themeColor="background2" w:themeShade="80"/>
          <w:sz w:val="26"/>
          <w:szCs w:val="27"/>
        </w:rPr>
      </w:pPr>
    </w:p>
    <w:p w:rsidR="00B46241" w:rsidRPr="00421B77" w:rsidRDefault="00B46241" w:rsidP="00B46241">
      <w:pPr>
        <w:pStyle w:val="Textoindependiente"/>
        <w:ind w:firstLine="708"/>
        <w:rPr>
          <w:rFonts w:ascii="Calibri" w:hAnsi="Calibri"/>
          <w:color w:val="767171" w:themeColor="background2" w:themeShade="80"/>
          <w:sz w:val="26"/>
          <w:szCs w:val="27"/>
        </w:rPr>
      </w:pPr>
      <w:r w:rsidRPr="00421B77">
        <w:rPr>
          <w:rFonts w:ascii="Calibri" w:hAnsi="Calibri"/>
          <w:b/>
          <w:color w:val="767171" w:themeColor="background2" w:themeShade="80"/>
          <w:sz w:val="26"/>
          <w:szCs w:val="27"/>
        </w:rPr>
        <w:t>No</w:t>
      </w:r>
      <w:r w:rsidRPr="00421B77">
        <w:rPr>
          <w:rFonts w:ascii="Calibri" w:hAnsi="Calibri"/>
          <w:color w:val="767171" w:themeColor="background2" w:themeShade="80"/>
          <w:sz w:val="26"/>
          <w:szCs w:val="27"/>
        </w:rPr>
        <w:t xml:space="preserve"> </w:t>
      </w:r>
      <w:r w:rsidRPr="00421B77">
        <w:rPr>
          <w:rFonts w:ascii="Calibri" w:hAnsi="Calibri"/>
          <w:b/>
          <w:color w:val="767171" w:themeColor="background2" w:themeShade="80"/>
          <w:sz w:val="26"/>
          <w:szCs w:val="27"/>
        </w:rPr>
        <w:t>resulta procedente</w:t>
      </w:r>
      <w:r w:rsidRPr="00421B77">
        <w:rPr>
          <w:rFonts w:ascii="Calibri" w:hAnsi="Calibri"/>
          <w:color w:val="767171" w:themeColor="background2" w:themeShade="80"/>
          <w:sz w:val="26"/>
          <w:szCs w:val="27"/>
        </w:rPr>
        <w:t xml:space="preserve"> dicha pretensión, toda vez que los supuestos en los que no podría volver a emitirse un acto impugnado en un caso como el que nos ocupa, sería, si la autoridad emisora no contara con atribuciones para ello, y si el actor no fuera sujeto pasivo de la contribución de que se trata. Los que no se dan en el presente asunto. </w:t>
      </w:r>
      <w:r w:rsidRPr="00421B77">
        <w:rPr>
          <w:rFonts w:ascii="Calibri" w:hAnsi="Calibri"/>
          <w:bCs/>
          <w:color w:val="767171" w:themeColor="background2" w:themeShade="80"/>
          <w:sz w:val="26"/>
          <w:szCs w:val="27"/>
        </w:rPr>
        <w:t xml:space="preserve">. . . . . . . . . . . . . . . . . . . . . . . . . . . . . . . . . . . . . . . . . . . . . . . . . . </w:t>
      </w:r>
    </w:p>
    <w:p w:rsidR="00B46241" w:rsidRPr="00421B77" w:rsidRDefault="00B46241" w:rsidP="00B46241">
      <w:pPr>
        <w:pStyle w:val="Textoindependiente"/>
        <w:ind w:firstLine="708"/>
        <w:rPr>
          <w:rFonts w:ascii="Calibri" w:hAnsi="Calibri"/>
          <w:color w:val="767171" w:themeColor="background2" w:themeShade="80"/>
          <w:sz w:val="26"/>
          <w:szCs w:val="27"/>
        </w:rPr>
      </w:pPr>
    </w:p>
    <w:p w:rsidR="00B46241" w:rsidRPr="00421B77" w:rsidRDefault="00B46241" w:rsidP="00B46241">
      <w:pPr>
        <w:ind w:firstLine="708"/>
        <w:jc w:val="right"/>
        <w:rPr>
          <w:rFonts w:ascii="Calibri" w:hAnsi="Calibri"/>
          <w:b/>
          <w:iCs/>
          <w:color w:val="767171" w:themeColor="background2" w:themeShade="80"/>
          <w:sz w:val="26"/>
          <w:szCs w:val="27"/>
        </w:rPr>
      </w:pPr>
      <w:r w:rsidRPr="00421B77">
        <w:rPr>
          <w:rFonts w:ascii="Calibri" w:hAnsi="Calibri"/>
          <w:b/>
          <w:iCs/>
          <w:color w:val="767171" w:themeColor="background2" w:themeShade="80"/>
          <w:sz w:val="26"/>
          <w:szCs w:val="27"/>
        </w:rPr>
        <w:t xml:space="preserve">Expediente número 110/2015-JN </w:t>
      </w:r>
    </w:p>
    <w:p w:rsidR="00B46241" w:rsidRPr="00421B77" w:rsidRDefault="00B46241" w:rsidP="00B46241">
      <w:pPr>
        <w:pStyle w:val="Textoindependiente"/>
        <w:rPr>
          <w:rFonts w:ascii="Calibri" w:hAnsi="Calibri"/>
          <w:color w:val="767171" w:themeColor="background2" w:themeShade="80"/>
          <w:sz w:val="26"/>
          <w:szCs w:val="27"/>
        </w:rPr>
      </w:pPr>
    </w:p>
    <w:p w:rsidR="00B46241" w:rsidRPr="00421B77" w:rsidRDefault="00B46241" w:rsidP="00B46241">
      <w:pPr>
        <w:pStyle w:val="Textoindependiente"/>
        <w:ind w:firstLine="708"/>
        <w:rPr>
          <w:rFonts w:ascii="Calibri" w:hAnsi="Calibri"/>
          <w:color w:val="767171" w:themeColor="background2" w:themeShade="80"/>
          <w:sz w:val="26"/>
          <w:szCs w:val="27"/>
        </w:rPr>
      </w:pPr>
      <w:r w:rsidRPr="00421B77">
        <w:rPr>
          <w:rFonts w:ascii="Calibri" w:hAnsi="Calibri"/>
          <w:color w:val="767171" w:themeColor="background2" w:themeShade="80"/>
          <w:sz w:val="26"/>
          <w:szCs w:val="27"/>
        </w:rPr>
        <w:t>Debiéndose destacar que en la resolución del recurso de inconformidad número 041/2003, emitida, -no por este Juzgador como lo supone- sino por el Juzgado Primero Administrativo, que anexó a su demanda; se resolvió que la autoridad emisora, podía, si es que era autoridad competente, emitirla nuevamente, con estricto apego a Derecho. . . . . . . . . . . . . . . . . . . . . . . . . . . . . . . . .</w:t>
      </w:r>
    </w:p>
    <w:p w:rsidR="00B46241" w:rsidRPr="00421B77" w:rsidRDefault="00B46241" w:rsidP="00B46241">
      <w:pPr>
        <w:pStyle w:val="Textoindependiente"/>
        <w:rPr>
          <w:rFonts w:ascii="Calibri" w:hAnsi="Calibri"/>
          <w:color w:val="767171" w:themeColor="background2" w:themeShade="80"/>
          <w:sz w:val="26"/>
          <w:szCs w:val="27"/>
        </w:rPr>
      </w:pPr>
    </w:p>
    <w:p w:rsidR="00B46241" w:rsidRPr="00421B77" w:rsidRDefault="00B46241" w:rsidP="00B46241">
      <w:pPr>
        <w:pStyle w:val="Textoindependiente"/>
        <w:ind w:firstLine="708"/>
        <w:rPr>
          <w:rFonts w:ascii="Calibri" w:hAnsi="Calibri"/>
          <w:color w:val="767171" w:themeColor="background2" w:themeShade="80"/>
          <w:sz w:val="26"/>
          <w:szCs w:val="27"/>
        </w:rPr>
      </w:pPr>
      <w:r w:rsidRPr="00421B77">
        <w:rPr>
          <w:rFonts w:ascii="Calibri" w:hAnsi="Calibri"/>
          <w:color w:val="767171" w:themeColor="background2" w:themeShade="80"/>
          <w:sz w:val="26"/>
          <w:szCs w:val="27"/>
        </w:rPr>
        <w:t xml:space="preserve">Asimismo, no sobra manifestar que la prescripción de los créditos fiscales, debe declararse por las autoridades fiscales correspondientes, siempre </w:t>
      </w:r>
      <w:r w:rsidRPr="00421B77">
        <w:rPr>
          <w:rFonts w:ascii="Calibri" w:hAnsi="Calibri"/>
          <w:b/>
          <w:color w:val="767171" w:themeColor="background2" w:themeShade="80"/>
          <w:sz w:val="26"/>
          <w:szCs w:val="27"/>
        </w:rPr>
        <w:t>a petición del interesado</w:t>
      </w:r>
      <w:r w:rsidRPr="00421B77">
        <w:rPr>
          <w:rFonts w:ascii="Calibri" w:hAnsi="Calibri"/>
          <w:color w:val="767171" w:themeColor="background2" w:themeShade="80"/>
          <w:sz w:val="26"/>
          <w:szCs w:val="27"/>
        </w:rPr>
        <w:t xml:space="preserve">, de conformidad con lo establecido en el tercer párrafo del artículo 60 de la Ley de Hacienda para los Municipios del Estado de Guanajuato. . . . . . . . . . . . . . . . . . . . . . . . </w:t>
      </w:r>
      <w:proofErr w:type="gramStart"/>
      <w:r w:rsidRPr="00421B77">
        <w:rPr>
          <w:rFonts w:ascii="Calibri" w:hAnsi="Calibri"/>
          <w:color w:val="767171" w:themeColor="background2" w:themeShade="80"/>
          <w:sz w:val="26"/>
          <w:szCs w:val="27"/>
        </w:rPr>
        <w:t>. . . .</w:t>
      </w:r>
      <w:proofErr w:type="gramEnd"/>
      <w:r w:rsidRPr="00421B77">
        <w:rPr>
          <w:rFonts w:ascii="Calibri" w:hAnsi="Calibri"/>
          <w:color w:val="767171" w:themeColor="background2" w:themeShade="80"/>
          <w:sz w:val="26"/>
          <w:szCs w:val="27"/>
        </w:rPr>
        <w:t xml:space="preserve"> .  . . . . . . . . . . . . . . . . . . . . . . . . . . . . . .</w:t>
      </w:r>
    </w:p>
    <w:p w:rsidR="00B46241" w:rsidRPr="00421B77" w:rsidRDefault="00B46241" w:rsidP="00B46241">
      <w:pPr>
        <w:pStyle w:val="Textoindependiente"/>
        <w:ind w:firstLine="708"/>
        <w:rPr>
          <w:rFonts w:ascii="Calibri" w:hAnsi="Calibri"/>
          <w:color w:val="767171" w:themeColor="background2" w:themeShade="80"/>
          <w:sz w:val="26"/>
          <w:szCs w:val="27"/>
        </w:rPr>
      </w:pPr>
      <w:r w:rsidRPr="00421B77">
        <w:rPr>
          <w:rFonts w:ascii="Calibri" w:hAnsi="Calibri"/>
          <w:color w:val="767171" w:themeColor="background2" w:themeShade="80"/>
          <w:sz w:val="26"/>
          <w:szCs w:val="27"/>
        </w:rPr>
        <w:t xml:space="preserve"> </w:t>
      </w:r>
    </w:p>
    <w:p w:rsidR="00B46241" w:rsidRPr="00421B77" w:rsidRDefault="00B46241" w:rsidP="00B46241">
      <w:pPr>
        <w:pStyle w:val="Textoindependiente"/>
        <w:ind w:firstLine="708"/>
        <w:rPr>
          <w:rFonts w:ascii="Calibri" w:hAnsi="Calibri" w:cs="Arial"/>
          <w:color w:val="767171" w:themeColor="background2" w:themeShade="80"/>
          <w:sz w:val="26"/>
          <w:szCs w:val="26"/>
        </w:rPr>
      </w:pPr>
      <w:r w:rsidRPr="00421B77">
        <w:rPr>
          <w:rFonts w:ascii="Calibri" w:hAnsi="Calibri" w:cs="Arial"/>
          <w:color w:val="767171" w:themeColor="background2" w:themeShade="80"/>
          <w:sz w:val="26"/>
          <w:szCs w:val="26"/>
        </w:rPr>
        <w:t xml:space="preserve">Por lo anteriormente expuesto, y con fundamento además en lo dispuesto en los artículos 249, 261, fracción VI; 262, fracción II; 287, 298, 299, 300, fracción II; y, 302, </w:t>
      </w:r>
      <w:proofErr w:type="gramStart"/>
      <w:r w:rsidRPr="00421B77">
        <w:rPr>
          <w:rFonts w:ascii="Calibri" w:hAnsi="Calibri" w:cs="Arial"/>
          <w:color w:val="767171" w:themeColor="background2" w:themeShade="80"/>
          <w:sz w:val="26"/>
          <w:szCs w:val="26"/>
        </w:rPr>
        <w:t>fracción  II</w:t>
      </w:r>
      <w:proofErr w:type="gramEnd"/>
      <w:r w:rsidRPr="00421B77">
        <w:rPr>
          <w:rFonts w:ascii="Calibri" w:hAnsi="Calibri" w:cs="Arial"/>
          <w:color w:val="767171" w:themeColor="background2" w:themeShade="80"/>
          <w:sz w:val="26"/>
          <w:szCs w:val="26"/>
        </w:rPr>
        <w:t xml:space="preserve"> del </w:t>
      </w:r>
      <w:r w:rsidRPr="00421B77">
        <w:rPr>
          <w:rFonts w:ascii="Calibri" w:hAnsi="Calibri"/>
          <w:color w:val="767171" w:themeColor="background2" w:themeShade="80"/>
          <w:sz w:val="26"/>
          <w:szCs w:val="26"/>
        </w:rPr>
        <w:t>Código de Procedimiento y Justicia Administrativa para el Estado y los Municipios de Guanajuato,</w:t>
      </w:r>
      <w:r w:rsidRPr="00421B77">
        <w:rPr>
          <w:rFonts w:ascii="Calibri" w:hAnsi="Calibri" w:cs="Arial"/>
          <w:color w:val="767171" w:themeColor="background2" w:themeShade="80"/>
          <w:sz w:val="26"/>
          <w:szCs w:val="26"/>
        </w:rPr>
        <w:t xml:space="preserve"> es de resolverse y se. . . . . . . . . . . . . . . . </w:t>
      </w:r>
    </w:p>
    <w:p w:rsidR="00B46241" w:rsidRPr="00421B77" w:rsidRDefault="00B46241" w:rsidP="00B46241">
      <w:pPr>
        <w:pStyle w:val="Textoindependiente"/>
        <w:ind w:firstLine="708"/>
        <w:rPr>
          <w:rFonts w:ascii="Calibri" w:hAnsi="Calibri" w:cs="Arial"/>
          <w:color w:val="767171" w:themeColor="background2" w:themeShade="80"/>
          <w:sz w:val="22"/>
          <w:szCs w:val="26"/>
        </w:rPr>
      </w:pPr>
    </w:p>
    <w:p w:rsidR="00B46241" w:rsidRPr="00421B77" w:rsidRDefault="00B46241" w:rsidP="00B46241">
      <w:pPr>
        <w:pStyle w:val="Textoindependiente"/>
        <w:jc w:val="center"/>
        <w:rPr>
          <w:rFonts w:ascii="Calibri" w:hAnsi="Calibri" w:cs="Arial"/>
          <w:i/>
          <w:iCs/>
          <w:color w:val="767171" w:themeColor="background2" w:themeShade="80"/>
          <w:sz w:val="26"/>
          <w:szCs w:val="26"/>
        </w:rPr>
      </w:pPr>
      <w:r w:rsidRPr="00421B77">
        <w:rPr>
          <w:rFonts w:ascii="Calibri" w:hAnsi="Calibri" w:cs="Arial"/>
          <w:b/>
          <w:i/>
          <w:iCs/>
          <w:color w:val="767171" w:themeColor="background2" w:themeShade="80"/>
          <w:sz w:val="26"/>
          <w:szCs w:val="26"/>
        </w:rPr>
        <w:t>R E S U E L V E:</w:t>
      </w:r>
    </w:p>
    <w:p w:rsidR="00B46241" w:rsidRPr="00421B77" w:rsidRDefault="00B46241" w:rsidP="00B46241">
      <w:pPr>
        <w:pStyle w:val="Textoindependiente"/>
        <w:rPr>
          <w:rFonts w:ascii="Calibri" w:hAnsi="Calibri" w:cs="Arial"/>
          <w:b/>
          <w:bCs/>
          <w:i/>
          <w:iCs/>
          <w:color w:val="767171" w:themeColor="background2" w:themeShade="80"/>
          <w:sz w:val="26"/>
          <w:szCs w:val="26"/>
        </w:rPr>
      </w:pPr>
    </w:p>
    <w:p w:rsidR="00B46241" w:rsidRPr="00421B77" w:rsidRDefault="00B46241" w:rsidP="00B46241">
      <w:pPr>
        <w:pStyle w:val="Textoindependiente"/>
        <w:ind w:firstLine="708"/>
        <w:rPr>
          <w:rFonts w:ascii="Calibri" w:hAnsi="Calibri" w:cs="Arial"/>
          <w:color w:val="767171" w:themeColor="background2" w:themeShade="80"/>
          <w:sz w:val="26"/>
          <w:szCs w:val="26"/>
        </w:rPr>
      </w:pPr>
      <w:proofErr w:type="gramStart"/>
      <w:r w:rsidRPr="00421B77">
        <w:rPr>
          <w:rFonts w:ascii="Calibri" w:hAnsi="Calibri" w:cs="Arial"/>
          <w:b/>
          <w:bCs/>
          <w:i/>
          <w:iCs/>
          <w:color w:val="767171" w:themeColor="background2" w:themeShade="80"/>
          <w:sz w:val="26"/>
          <w:szCs w:val="26"/>
        </w:rPr>
        <w:t>PRIMERO</w:t>
      </w:r>
      <w:r w:rsidRPr="00421B77">
        <w:rPr>
          <w:rFonts w:ascii="Calibri" w:hAnsi="Calibri" w:cs="Arial"/>
          <w:color w:val="767171" w:themeColor="background2" w:themeShade="80"/>
          <w:sz w:val="26"/>
          <w:szCs w:val="26"/>
        </w:rPr>
        <w:t>.-</w:t>
      </w:r>
      <w:proofErr w:type="gramEnd"/>
      <w:r w:rsidRPr="00421B77">
        <w:rPr>
          <w:rFonts w:ascii="Calibri" w:hAnsi="Calibri" w:cs="Arial"/>
          <w:color w:val="767171" w:themeColor="background2" w:themeShade="80"/>
          <w:sz w:val="26"/>
          <w:szCs w:val="26"/>
        </w:rPr>
        <w:t xml:space="preserve"> Este Juzgado Segundo Administrativo Municipal es competente para conocer y resolver del presente proceso administrativo. . . . . . .</w:t>
      </w:r>
    </w:p>
    <w:p w:rsidR="00B46241" w:rsidRPr="00421B77" w:rsidRDefault="00B46241" w:rsidP="00B46241">
      <w:pPr>
        <w:ind w:firstLine="708"/>
        <w:jc w:val="both"/>
        <w:rPr>
          <w:rFonts w:ascii="Calibri" w:hAnsi="Calibri" w:cs="Arial"/>
          <w:b/>
          <w:bCs/>
          <w:i/>
          <w:iCs/>
          <w:color w:val="767171" w:themeColor="background2" w:themeShade="80"/>
          <w:sz w:val="26"/>
          <w:szCs w:val="26"/>
          <w:lang w:val="es-MX"/>
        </w:rPr>
      </w:pPr>
    </w:p>
    <w:p w:rsidR="00B46241" w:rsidRPr="00421B77" w:rsidRDefault="00B46241" w:rsidP="00B46241">
      <w:pPr>
        <w:ind w:firstLine="708"/>
        <w:jc w:val="both"/>
        <w:rPr>
          <w:rFonts w:ascii="Calibri" w:hAnsi="Calibri" w:cs="Arial"/>
          <w:bCs/>
          <w:iCs/>
          <w:color w:val="767171" w:themeColor="background2" w:themeShade="80"/>
          <w:sz w:val="26"/>
          <w:szCs w:val="26"/>
        </w:rPr>
      </w:pPr>
      <w:proofErr w:type="gramStart"/>
      <w:r w:rsidRPr="00421B77">
        <w:rPr>
          <w:rFonts w:ascii="Calibri" w:hAnsi="Calibri" w:cs="Arial"/>
          <w:b/>
          <w:bCs/>
          <w:i/>
          <w:iCs/>
          <w:color w:val="767171" w:themeColor="background2" w:themeShade="80"/>
          <w:sz w:val="26"/>
          <w:szCs w:val="26"/>
        </w:rPr>
        <w:t>SEGUNDO.-</w:t>
      </w:r>
      <w:proofErr w:type="gramEnd"/>
      <w:r w:rsidRPr="00421B77">
        <w:rPr>
          <w:rFonts w:ascii="Calibri" w:hAnsi="Calibri" w:cs="Arial"/>
          <w:b/>
          <w:bCs/>
          <w:i/>
          <w:iCs/>
          <w:color w:val="767171" w:themeColor="background2" w:themeShade="80"/>
          <w:sz w:val="26"/>
          <w:szCs w:val="26"/>
        </w:rPr>
        <w:t xml:space="preserve"> </w:t>
      </w:r>
      <w:r w:rsidRPr="00421B77">
        <w:rPr>
          <w:rFonts w:ascii="Calibri" w:hAnsi="Calibri" w:cs="Arial"/>
          <w:bCs/>
          <w:iCs/>
          <w:color w:val="767171" w:themeColor="background2" w:themeShade="80"/>
          <w:sz w:val="26"/>
          <w:szCs w:val="26"/>
        </w:rPr>
        <w:t xml:space="preserve">Se </w:t>
      </w:r>
      <w:r w:rsidRPr="00421B77">
        <w:rPr>
          <w:rFonts w:ascii="Calibri" w:hAnsi="Calibri" w:cs="Arial"/>
          <w:b/>
          <w:bCs/>
          <w:iCs/>
          <w:color w:val="767171" w:themeColor="background2" w:themeShade="80"/>
          <w:sz w:val="26"/>
          <w:szCs w:val="26"/>
        </w:rPr>
        <w:t>SOBRESEE</w:t>
      </w:r>
      <w:r w:rsidRPr="00421B77">
        <w:rPr>
          <w:rFonts w:ascii="Calibri" w:hAnsi="Calibri" w:cs="Arial"/>
          <w:b/>
          <w:bCs/>
          <w:i/>
          <w:iCs/>
          <w:color w:val="767171" w:themeColor="background2" w:themeShade="80"/>
          <w:sz w:val="26"/>
          <w:szCs w:val="26"/>
        </w:rPr>
        <w:t xml:space="preserve"> </w:t>
      </w:r>
      <w:r w:rsidRPr="00421B77">
        <w:rPr>
          <w:rFonts w:ascii="Calibri" w:hAnsi="Calibri" w:cs="Arial"/>
          <w:bCs/>
          <w:iCs/>
          <w:color w:val="767171" w:themeColor="background2" w:themeShade="80"/>
          <w:sz w:val="26"/>
          <w:szCs w:val="26"/>
        </w:rPr>
        <w:t xml:space="preserve">el presente proceso respecto de la autoridad demandada Tesorería Municipal; por las razones lógicas y jurídicas contenidas en el Considerando Cuarto de la presente resolución. . . . . . . . . . . . . . . . . . . . . . . . . . . </w:t>
      </w:r>
    </w:p>
    <w:p w:rsidR="00B46241" w:rsidRPr="00421B77" w:rsidRDefault="00B46241" w:rsidP="00B46241">
      <w:pPr>
        <w:ind w:firstLine="708"/>
        <w:jc w:val="both"/>
        <w:rPr>
          <w:rFonts w:ascii="Calibri" w:hAnsi="Calibri" w:cs="Arial"/>
          <w:b/>
          <w:bCs/>
          <w:i/>
          <w:iCs/>
          <w:color w:val="767171" w:themeColor="background2" w:themeShade="80"/>
          <w:sz w:val="26"/>
          <w:szCs w:val="26"/>
        </w:rPr>
      </w:pPr>
    </w:p>
    <w:p w:rsidR="00B46241" w:rsidRPr="00421B77" w:rsidRDefault="00B46241" w:rsidP="00B46241">
      <w:pPr>
        <w:ind w:firstLine="708"/>
        <w:jc w:val="both"/>
        <w:rPr>
          <w:rFonts w:ascii="Calibri" w:hAnsi="Calibri" w:cs="Arial"/>
          <w:bCs/>
          <w:iCs/>
          <w:color w:val="767171" w:themeColor="background2" w:themeShade="80"/>
          <w:sz w:val="26"/>
          <w:szCs w:val="26"/>
        </w:rPr>
      </w:pPr>
      <w:proofErr w:type="gramStart"/>
      <w:r w:rsidRPr="00421B77">
        <w:rPr>
          <w:rFonts w:ascii="Calibri" w:hAnsi="Calibri" w:cs="Arial"/>
          <w:b/>
          <w:bCs/>
          <w:i/>
          <w:iCs/>
          <w:color w:val="767171" w:themeColor="background2" w:themeShade="80"/>
          <w:sz w:val="26"/>
          <w:szCs w:val="26"/>
        </w:rPr>
        <w:t>TERCERO.-</w:t>
      </w:r>
      <w:proofErr w:type="gramEnd"/>
      <w:r w:rsidRPr="00421B77">
        <w:rPr>
          <w:rFonts w:ascii="Calibri" w:hAnsi="Calibri" w:cs="Arial"/>
          <w:b/>
          <w:bCs/>
          <w:i/>
          <w:iCs/>
          <w:color w:val="767171" w:themeColor="background2" w:themeShade="80"/>
          <w:sz w:val="26"/>
          <w:szCs w:val="26"/>
        </w:rPr>
        <w:t xml:space="preserve"> </w:t>
      </w:r>
      <w:r w:rsidRPr="00421B77">
        <w:rPr>
          <w:rFonts w:ascii="Calibri" w:hAnsi="Calibri" w:cs="Arial"/>
          <w:color w:val="767171" w:themeColor="background2" w:themeShade="80"/>
          <w:sz w:val="26"/>
          <w:szCs w:val="26"/>
        </w:rPr>
        <w:t xml:space="preserve">Resultó procedente el proceso administrativo promovido por el ciudadano </w:t>
      </w:r>
      <w:r>
        <w:rPr>
          <w:rFonts w:ascii="Calibri" w:hAnsi="Calibri" w:cs="Arial"/>
          <w:color w:val="767171" w:themeColor="background2" w:themeShade="80"/>
          <w:sz w:val="26"/>
          <w:szCs w:val="26"/>
        </w:rPr>
        <w:t>*****</w:t>
      </w:r>
      <w:r w:rsidRPr="00421B77">
        <w:rPr>
          <w:rFonts w:ascii="Calibri" w:hAnsi="Calibri" w:cs="Arial"/>
          <w:color w:val="767171" w:themeColor="background2" w:themeShade="80"/>
          <w:sz w:val="26"/>
          <w:szCs w:val="27"/>
        </w:rPr>
        <w:t>,</w:t>
      </w:r>
      <w:r w:rsidRPr="00421B77">
        <w:rPr>
          <w:rFonts w:ascii="Calibri" w:hAnsi="Calibri" w:cs="Arial"/>
          <w:color w:val="767171" w:themeColor="background2" w:themeShade="80"/>
          <w:sz w:val="26"/>
          <w:szCs w:val="26"/>
        </w:rPr>
        <w:t xml:space="preserve"> en contra del acto impugnado</w:t>
      </w:r>
      <w:r w:rsidRPr="00421B77">
        <w:rPr>
          <w:rFonts w:ascii="Calibri" w:hAnsi="Calibri"/>
          <w:color w:val="767171" w:themeColor="background2" w:themeShade="80"/>
          <w:sz w:val="26"/>
          <w:szCs w:val="26"/>
        </w:rPr>
        <w:t xml:space="preserve">. </w:t>
      </w:r>
      <w:r w:rsidRPr="00421B77">
        <w:rPr>
          <w:rFonts w:ascii="Calibri" w:hAnsi="Calibri"/>
          <w:color w:val="767171" w:themeColor="background2" w:themeShade="80"/>
          <w:sz w:val="26"/>
          <w:szCs w:val="27"/>
        </w:rPr>
        <w:t xml:space="preserve">. . . . . . . . . . . . . . . . . . . </w:t>
      </w:r>
    </w:p>
    <w:p w:rsidR="00B46241" w:rsidRPr="00421B77" w:rsidRDefault="00B46241" w:rsidP="00B46241">
      <w:pPr>
        <w:jc w:val="both"/>
        <w:rPr>
          <w:rFonts w:ascii="Calibri" w:hAnsi="Calibri" w:cs="Arial"/>
          <w:b/>
          <w:bCs/>
          <w:i/>
          <w:iCs/>
          <w:color w:val="767171" w:themeColor="background2" w:themeShade="80"/>
          <w:sz w:val="22"/>
          <w:szCs w:val="26"/>
        </w:rPr>
      </w:pPr>
    </w:p>
    <w:p w:rsidR="00B46241" w:rsidRPr="00421B77" w:rsidRDefault="00B46241" w:rsidP="00B46241">
      <w:pPr>
        <w:ind w:firstLine="708"/>
        <w:jc w:val="both"/>
        <w:rPr>
          <w:rFonts w:ascii="Calibri" w:hAnsi="Calibri"/>
          <w:b/>
          <w:bCs/>
          <w:color w:val="767171" w:themeColor="background2" w:themeShade="80"/>
          <w:sz w:val="26"/>
          <w:szCs w:val="27"/>
        </w:rPr>
      </w:pPr>
      <w:proofErr w:type="gramStart"/>
      <w:r w:rsidRPr="00421B77">
        <w:rPr>
          <w:rFonts w:ascii="Calibri" w:hAnsi="Calibri" w:cs="Arial"/>
          <w:b/>
          <w:bCs/>
          <w:i/>
          <w:iCs/>
          <w:color w:val="767171" w:themeColor="background2" w:themeShade="80"/>
          <w:sz w:val="26"/>
          <w:szCs w:val="26"/>
        </w:rPr>
        <w:lastRenderedPageBreak/>
        <w:t>CUARTO.-</w:t>
      </w:r>
      <w:proofErr w:type="gramEnd"/>
      <w:r w:rsidRPr="00421B77">
        <w:rPr>
          <w:rFonts w:ascii="Calibri" w:hAnsi="Calibri" w:cs="Arial"/>
          <w:b/>
          <w:bCs/>
          <w:i/>
          <w:iCs/>
          <w:color w:val="767171" w:themeColor="background2" w:themeShade="80"/>
          <w:sz w:val="26"/>
          <w:szCs w:val="26"/>
        </w:rPr>
        <w:t xml:space="preserve"> </w:t>
      </w:r>
      <w:r w:rsidRPr="00421B77">
        <w:rPr>
          <w:rFonts w:ascii="Calibri" w:hAnsi="Calibri" w:cs="Arial"/>
          <w:color w:val="767171" w:themeColor="background2" w:themeShade="80"/>
          <w:sz w:val="26"/>
        </w:rPr>
        <w:t xml:space="preserve">Se decreta </w:t>
      </w:r>
      <w:r w:rsidRPr="00421B77">
        <w:rPr>
          <w:rFonts w:ascii="Calibri" w:hAnsi="Calibri" w:cs="Arial"/>
          <w:bCs/>
          <w:color w:val="767171" w:themeColor="background2" w:themeShade="80"/>
          <w:sz w:val="26"/>
        </w:rPr>
        <w:t>la</w:t>
      </w:r>
      <w:r w:rsidRPr="00421B77">
        <w:rPr>
          <w:rFonts w:ascii="Calibri" w:hAnsi="Calibri" w:cs="Arial"/>
          <w:b/>
          <w:bCs/>
          <w:color w:val="767171" w:themeColor="background2" w:themeShade="80"/>
          <w:sz w:val="26"/>
        </w:rPr>
        <w:t xml:space="preserve"> NULIDAD TOTAL </w:t>
      </w:r>
      <w:r w:rsidRPr="00421B77">
        <w:rPr>
          <w:rFonts w:ascii="Calibri" w:hAnsi="Calibri" w:cs="Arial"/>
          <w:bCs/>
          <w:color w:val="767171" w:themeColor="background2" w:themeShade="80"/>
          <w:sz w:val="26"/>
        </w:rPr>
        <w:t>de</w:t>
      </w:r>
      <w:r w:rsidRPr="00421B77">
        <w:rPr>
          <w:rFonts w:ascii="Calibri" w:hAnsi="Calibri"/>
          <w:bCs/>
          <w:color w:val="767171" w:themeColor="background2" w:themeShade="80"/>
          <w:sz w:val="26"/>
          <w:szCs w:val="27"/>
        </w:rPr>
        <w:t xml:space="preserve">l </w:t>
      </w:r>
      <w:r w:rsidRPr="00421B77">
        <w:rPr>
          <w:rFonts w:ascii="Calibri" w:hAnsi="Calibri"/>
          <w:b/>
          <w:bCs/>
          <w:color w:val="767171" w:themeColor="background2" w:themeShade="80"/>
          <w:sz w:val="26"/>
          <w:szCs w:val="27"/>
        </w:rPr>
        <w:t>documento determinante de crédito</w:t>
      </w:r>
      <w:r w:rsidRPr="00421B77">
        <w:rPr>
          <w:rFonts w:ascii="Calibri" w:hAnsi="Calibri"/>
          <w:bCs/>
          <w:color w:val="767171" w:themeColor="background2" w:themeShade="80"/>
          <w:sz w:val="26"/>
          <w:szCs w:val="27"/>
        </w:rPr>
        <w:t xml:space="preserve"> de fecha </w:t>
      </w:r>
      <w:r w:rsidRPr="00421B77">
        <w:rPr>
          <w:rFonts w:ascii="Calibri" w:hAnsi="Calibri"/>
          <w:b/>
          <w:bCs/>
          <w:color w:val="767171" w:themeColor="background2" w:themeShade="80"/>
          <w:sz w:val="26"/>
          <w:szCs w:val="27"/>
        </w:rPr>
        <w:t xml:space="preserve">19 </w:t>
      </w:r>
      <w:r w:rsidRPr="00421B77">
        <w:rPr>
          <w:rFonts w:ascii="Calibri" w:hAnsi="Calibri"/>
          <w:bCs/>
          <w:color w:val="767171" w:themeColor="background2" w:themeShade="80"/>
          <w:sz w:val="26"/>
          <w:szCs w:val="27"/>
        </w:rPr>
        <w:t xml:space="preserve">diecinueve de </w:t>
      </w:r>
      <w:r w:rsidRPr="00421B77">
        <w:rPr>
          <w:rFonts w:ascii="Calibri" w:hAnsi="Calibri"/>
          <w:b/>
          <w:bCs/>
          <w:color w:val="767171" w:themeColor="background2" w:themeShade="80"/>
          <w:sz w:val="26"/>
          <w:szCs w:val="27"/>
        </w:rPr>
        <w:t>septiembre</w:t>
      </w:r>
      <w:r w:rsidRPr="00421B77">
        <w:rPr>
          <w:rFonts w:ascii="Calibri" w:hAnsi="Calibri"/>
          <w:bCs/>
          <w:color w:val="767171" w:themeColor="background2" w:themeShade="80"/>
          <w:sz w:val="26"/>
          <w:szCs w:val="27"/>
        </w:rPr>
        <w:t xml:space="preserve"> del año </w:t>
      </w:r>
      <w:r w:rsidRPr="00421B77">
        <w:rPr>
          <w:rFonts w:ascii="Calibri" w:hAnsi="Calibri"/>
          <w:b/>
          <w:bCs/>
          <w:color w:val="767171" w:themeColor="background2" w:themeShade="80"/>
          <w:sz w:val="26"/>
          <w:szCs w:val="27"/>
        </w:rPr>
        <w:t>2014</w:t>
      </w:r>
      <w:r w:rsidRPr="00421B77">
        <w:rPr>
          <w:rFonts w:ascii="Calibri" w:hAnsi="Calibri"/>
          <w:bCs/>
          <w:color w:val="767171" w:themeColor="background2" w:themeShade="80"/>
          <w:sz w:val="26"/>
          <w:szCs w:val="27"/>
        </w:rPr>
        <w:t xml:space="preserve"> dos mil catorce, identificado con el número de crédito </w:t>
      </w:r>
      <w:r w:rsidRPr="00421B77">
        <w:rPr>
          <w:rFonts w:ascii="Calibri" w:hAnsi="Calibri"/>
          <w:b/>
          <w:bCs/>
          <w:color w:val="767171" w:themeColor="background2" w:themeShade="80"/>
          <w:sz w:val="26"/>
          <w:szCs w:val="27"/>
        </w:rPr>
        <w:t>3803050001016</w:t>
      </w:r>
      <w:r w:rsidRPr="00421B77">
        <w:rPr>
          <w:rFonts w:ascii="Calibri" w:hAnsi="Calibri"/>
          <w:bCs/>
          <w:color w:val="767171" w:themeColor="background2" w:themeShade="80"/>
          <w:sz w:val="26"/>
          <w:szCs w:val="27"/>
        </w:rPr>
        <w:t>, por la cantidad de $11,437.34 (Once mil cuatrocientos treinta y siete pesos 34/100 Moneda Nacional),</w:t>
      </w:r>
      <w:r w:rsidRPr="00421B77">
        <w:rPr>
          <w:rFonts w:ascii="Calibri" w:hAnsi="Calibri"/>
          <w:b/>
          <w:bCs/>
          <w:color w:val="767171" w:themeColor="background2" w:themeShade="80"/>
          <w:sz w:val="26"/>
          <w:szCs w:val="27"/>
        </w:rPr>
        <w:t xml:space="preserve"> </w:t>
      </w:r>
      <w:r w:rsidRPr="00421B77">
        <w:rPr>
          <w:rFonts w:ascii="Calibri" w:hAnsi="Calibri"/>
          <w:bCs/>
          <w:color w:val="767171" w:themeColor="background2" w:themeShade="80"/>
          <w:sz w:val="26"/>
          <w:szCs w:val="27"/>
        </w:rPr>
        <w:t>respecto de la contribución por la ejecución de obras públicas</w:t>
      </w:r>
      <w:r w:rsidRPr="00421B77">
        <w:rPr>
          <w:rFonts w:ascii="Calibri" w:hAnsi="Calibri"/>
          <w:b/>
          <w:bCs/>
          <w:color w:val="767171" w:themeColor="background2" w:themeShade="80"/>
          <w:sz w:val="26"/>
          <w:szCs w:val="27"/>
        </w:rPr>
        <w:t xml:space="preserve"> </w:t>
      </w:r>
      <w:r w:rsidRPr="00421B77">
        <w:rPr>
          <w:rFonts w:ascii="Calibri" w:hAnsi="Calibri"/>
          <w:bCs/>
          <w:color w:val="767171" w:themeColor="background2" w:themeShade="80"/>
          <w:sz w:val="26"/>
          <w:szCs w:val="27"/>
        </w:rPr>
        <w:t xml:space="preserve">que beneficiaron al inmueble ubicado en calle </w:t>
      </w:r>
      <w:r w:rsidRPr="00AE7E92">
        <w:rPr>
          <w:rFonts w:ascii="Calibri" w:hAnsi="Calibri"/>
          <w:bCs/>
          <w:color w:val="767171" w:themeColor="background2" w:themeShade="80"/>
          <w:sz w:val="26"/>
          <w:szCs w:val="27"/>
        </w:rPr>
        <w:t>*****de esta ciudad</w:t>
      </w:r>
      <w:r w:rsidRPr="00421B77">
        <w:rPr>
          <w:rFonts w:ascii="Calibri" w:hAnsi="Calibri"/>
          <w:bCs/>
          <w:color w:val="767171" w:themeColor="background2" w:themeShade="80"/>
          <w:sz w:val="26"/>
          <w:szCs w:val="27"/>
        </w:rPr>
        <w:t xml:space="preserve">. . . . . . . . . . . . . . . . . </w:t>
      </w:r>
    </w:p>
    <w:p w:rsidR="00B46241" w:rsidRPr="00421B77" w:rsidRDefault="00B46241" w:rsidP="00B46241">
      <w:pPr>
        <w:ind w:firstLine="708"/>
        <w:jc w:val="both"/>
        <w:rPr>
          <w:rFonts w:ascii="Calibri" w:hAnsi="Calibri"/>
          <w:bCs/>
          <w:color w:val="767171" w:themeColor="background2" w:themeShade="80"/>
          <w:sz w:val="26"/>
          <w:szCs w:val="27"/>
        </w:rPr>
      </w:pPr>
    </w:p>
    <w:p w:rsidR="00B46241" w:rsidRPr="00421B77" w:rsidRDefault="00B46241" w:rsidP="00B46241">
      <w:pPr>
        <w:ind w:firstLine="708"/>
        <w:jc w:val="both"/>
        <w:rPr>
          <w:rFonts w:ascii="Calibri" w:hAnsi="Calibri"/>
          <w:bCs/>
          <w:color w:val="767171" w:themeColor="background2" w:themeShade="80"/>
          <w:sz w:val="26"/>
          <w:szCs w:val="27"/>
        </w:rPr>
      </w:pPr>
      <w:r w:rsidRPr="00421B77">
        <w:rPr>
          <w:rFonts w:ascii="Calibri" w:hAnsi="Calibri"/>
          <w:bCs/>
          <w:color w:val="767171" w:themeColor="background2" w:themeShade="80"/>
          <w:sz w:val="26"/>
          <w:szCs w:val="27"/>
        </w:rPr>
        <w:t>L</w:t>
      </w:r>
      <w:r w:rsidRPr="00421B77">
        <w:rPr>
          <w:rFonts w:ascii="Calibri" w:hAnsi="Calibri"/>
          <w:color w:val="767171" w:themeColor="background2" w:themeShade="80"/>
          <w:sz w:val="26"/>
          <w:szCs w:val="27"/>
        </w:rPr>
        <w:t xml:space="preserve">o anterior </w:t>
      </w:r>
      <w:r w:rsidRPr="00421B77">
        <w:rPr>
          <w:rFonts w:ascii="Calibri" w:hAnsi="Calibri" w:cs="Arial"/>
          <w:color w:val="767171" w:themeColor="background2" w:themeShade="80"/>
          <w:sz w:val="26"/>
        </w:rPr>
        <w:t xml:space="preserve">de acuerdo a las consideraciones lógicas y jurídicas expuestas en el Considerando Sexto de esta sentencia. . . . . . . . . . . . . . . . . . . . . . . . . . . </w:t>
      </w:r>
      <w:proofErr w:type="gramStart"/>
      <w:r w:rsidRPr="00421B77">
        <w:rPr>
          <w:rFonts w:ascii="Calibri" w:hAnsi="Calibri" w:cs="Arial"/>
          <w:color w:val="767171" w:themeColor="background2" w:themeShade="80"/>
          <w:sz w:val="26"/>
        </w:rPr>
        <w:t>. . . .</w:t>
      </w:r>
      <w:proofErr w:type="gramEnd"/>
      <w:r w:rsidRPr="00421B77">
        <w:rPr>
          <w:rFonts w:ascii="Calibri" w:hAnsi="Calibri" w:cs="Arial"/>
          <w:color w:val="767171" w:themeColor="background2" w:themeShade="80"/>
          <w:sz w:val="26"/>
        </w:rPr>
        <w:t xml:space="preserve"> . </w:t>
      </w:r>
    </w:p>
    <w:p w:rsidR="00B46241" w:rsidRPr="00421B77" w:rsidRDefault="00B46241" w:rsidP="00B46241">
      <w:pPr>
        <w:pStyle w:val="Textoindependiente"/>
        <w:rPr>
          <w:rFonts w:ascii="Calibri" w:hAnsi="Calibri"/>
          <w:color w:val="767171" w:themeColor="background2" w:themeShade="80"/>
          <w:sz w:val="22"/>
          <w:szCs w:val="26"/>
          <w:lang w:val="es-ES"/>
        </w:rPr>
      </w:pPr>
    </w:p>
    <w:p w:rsidR="00B46241" w:rsidRPr="00421B77" w:rsidRDefault="00B46241" w:rsidP="00B46241">
      <w:pPr>
        <w:pStyle w:val="Textoindependiente"/>
        <w:rPr>
          <w:rFonts w:ascii="Calibri" w:hAnsi="Calibri"/>
          <w:color w:val="767171" w:themeColor="background2" w:themeShade="80"/>
          <w:sz w:val="26"/>
          <w:szCs w:val="27"/>
        </w:rPr>
      </w:pPr>
      <w:r w:rsidRPr="00421B77">
        <w:rPr>
          <w:rFonts w:ascii="Calibri" w:hAnsi="Calibri"/>
          <w:b/>
          <w:i/>
          <w:color w:val="767171" w:themeColor="background2" w:themeShade="80"/>
          <w:sz w:val="26"/>
          <w:szCs w:val="26"/>
          <w:lang w:val="es-ES"/>
        </w:rPr>
        <w:tab/>
      </w:r>
      <w:proofErr w:type="gramStart"/>
      <w:r w:rsidRPr="00421B77">
        <w:rPr>
          <w:rFonts w:ascii="Calibri" w:hAnsi="Calibri"/>
          <w:b/>
          <w:i/>
          <w:color w:val="767171" w:themeColor="background2" w:themeShade="80"/>
          <w:sz w:val="26"/>
          <w:szCs w:val="26"/>
          <w:lang w:val="es-ES"/>
        </w:rPr>
        <w:t>QUINTO.-</w:t>
      </w:r>
      <w:proofErr w:type="gramEnd"/>
      <w:r w:rsidRPr="00421B77">
        <w:rPr>
          <w:rFonts w:ascii="Calibri" w:hAnsi="Calibri"/>
          <w:b/>
          <w:i/>
          <w:color w:val="767171" w:themeColor="background2" w:themeShade="80"/>
          <w:sz w:val="26"/>
          <w:szCs w:val="26"/>
          <w:lang w:val="es-ES"/>
        </w:rPr>
        <w:t xml:space="preserve"> </w:t>
      </w:r>
      <w:r w:rsidRPr="00421B77">
        <w:rPr>
          <w:rFonts w:ascii="Calibri" w:hAnsi="Calibri"/>
          <w:b/>
          <w:color w:val="767171" w:themeColor="background2" w:themeShade="80"/>
          <w:sz w:val="26"/>
          <w:szCs w:val="27"/>
        </w:rPr>
        <w:t>No ha</w:t>
      </w:r>
      <w:r w:rsidRPr="00421B77">
        <w:rPr>
          <w:rFonts w:ascii="Calibri" w:hAnsi="Calibri"/>
          <w:color w:val="767171" w:themeColor="background2" w:themeShade="80"/>
          <w:sz w:val="26"/>
          <w:szCs w:val="27"/>
        </w:rPr>
        <w:t xml:space="preserve"> </w:t>
      </w:r>
      <w:r w:rsidRPr="00421B77">
        <w:rPr>
          <w:rFonts w:ascii="Calibri" w:hAnsi="Calibri"/>
          <w:b/>
          <w:color w:val="767171" w:themeColor="background2" w:themeShade="80"/>
          <w:sz w:val="26"/>
          <w:szCs w:val="27"/>
        </w:rPr>
        <w:t>lugar</w:t>
      </w:r>
      <w:r w:rsidRPr="00421B77">
        <w:rPr>
          <w:rFonts w:ascii="Calibri" w:hAnsi="Calibri"/>
          <w:color w:val="767171" w:themeColor="background2" w:themeShade="80"/>
          <w:sz w:val="26"/>
          <w:szCs w:val="27"/>
        </w:rPr>
        <w:t xml:space="preserve"> al reconocimiento del derecho solicitado; ello de conformidad con</w:t>
      </w:r>
      <w:r w:rsidRPr="00421B77">
        <w:rPr>
          <w:rFonts w:ascii="Calibri" w:hAnsi="Calibri" w:cs="Arial"/>
          <w:color w:val="767171" w:themeColor="background2" w:themeShade="80"/>
          <w:sz w:val="26"/>
        </w:rPr>
        <w:t xml:space="preserve"> lo expresado en el Considerando Octavo de este fallo</w:t>
      </w:r>
      <w:r w:rsidRPr="00421B77">
        <w:rPr>
          <w:rFonts w:ascii="Calibri" w:hAnsi="Calibri"/>
          <w:color w:val="767171" w:themeColor="background2" w:themeShade="80"/>
          <w:sz w:val="26"/>
          <w:szCs w:val="27"/>
        </w:rPr>
        <w:t xml:space="preserve">. </w:t>
      </w:r>
      <w:r w:rsidRPr="00421B77">
        <w:rPr>
          <w:rFonts w:ascii="Calibri" w:hAnsi="Calibri"/>
          <w:color w:val="767171" w:themeColor="background2" w:themeShade="80"/>
          <w:sz w:val="26"/>
        </w:rPr>
        <w:t xml:space="preserve">. . . . . . . .  </w:t>
      </w:r>
    </w:p>
    <w:p w:rsidR="00B46241" w:rsidRPr="00421B77" w:rsidRDefault="00B46241" w:rsidP="00B46241">
      <w:pPr>
        <w:pStyle w:val="Textoindependiente"/>
        <w:rPr>
          <w:rFonts w:ascii="Calibri" w:hAnsi="Calibri"/>
          <w:color w:val="767171" w:themeColor="background2" w:themeShade="80"/>
          <w:sz w:val="22"/>
          <w:szCs w:val="26"/>
        </w:rPr>
      </w:pPr>
    </w:p>
    <w:p w:rsidR="00B46241" w:rsidRPr="00421B77" w:rsidRDefault="00B46241" w:rsidP="00B46241">
      <w:pPr>
        <w:pStyle w:val="Textoindependiente"/>
        <w:ind w:firstLine="708"/>
        <w:rPr>
          <w:rFonts w:ascii="Calibri" w:hAnsi="Calibri" w:cs="Arial"/>
          <w:color w:val="767171" w:themeColor="background2" w:themeShade="80"/>
          <w:sz w:val="26"/>
          <w:szCs w:val="26"/>
        </w:rPr>
      </w:pPr>
      <w:r w:rsidRPr="00421B77">
        <w:rPr>
          <w:rFonts w:ascii="Calibri" w:hAnsi="Calibri" w:cs="Arial"/>
          <w:color w:val="767171" w:themeColor="background2" w:themeShade="80"/>
          <w:sz w:val="26"/>
          <w:szCs w:val="26"/>
        </w:rPr>
        <w:t xml:space="preserve">Notifíquese a las autoridades demandadas por oficio y por correo electrónico; y, a la parte actora personalmente. . . . . . . . . . . . . . . . . . . . . . . . </w:t>
      </w:r>
      <w:proofErr w:type="gramStart"/>
      <w:r w:rsidRPr="00421B77">
        <w:rPr>
          <w:rFonts w:ascii="Calibri" w:hAnsi="Calibri" w:cs="Arial"/>
          <w:color w:val="767171" w:themeColor="background2" w:themeShade="80"/>
          <w:sz w:val="26"/>
          <w:szCs w:val="26"/>
        </w:rPr>
        <w:t>. . . .</w:t>
      </w:r>
      <w:proofErr w:type="gramEnd"/>
      <w:r w:rsidRPr="00421B77">
        <w:rPr>
          <w:rFonts w:ascii="Calibri" w:hAnsi="Calibri" w:cs="Arial"/>
          <w:color w:val="767171" w:themeColor="background2" w:themeShade="80"/>
          <w:sz w:val="26"/>
          <w:szCs w:val="26"/>
        </w:rPr>
        <w:t xml:space="preserve"> . </w:t>
      </w:r>
    </w:p>
    <w:p w:rsidR="00B46241" w:rsidRPr="00421B77" w:rsidRDefault="00B46241" w:rsidP="00B46241">
      <w:pPr>
        <w:pStyle w:val="Textoindependiente"/>
        <w:rPr>
          <w:rFonts w:ascii="Calibri" w:hAnsi="Calibri" w:cs="Arial"/>
          <w:color w:val="767171" w:themeColor="background2" w:themeShade="80"/>
          <w:sz w:val="22"/>
          <w:szCs w:val="26"/>
        </w:rPr>
      </w:pPr>
    </w:p>
    <w:p w:rsidR="00B46241" w:rsidRPr="00421B77" w:rsidRDefault="00B46241" w:rsidP="00B46241">
      <w:pPr>
        <w:pStyle w:val="Textoindependiente"/>
        <w:rPr>
          <w:rFonts w:ascii="Calibri" w:hAnsi="Calibri" w:cs="Arial"/>
          <w:b/>
          <w:bCs/>
          <w:color w:val="767171" w:themeColor="background2" w:themeShade="80"/>
          <w:sz w:val="26"/>
          <w:szCs w:val="26"/>
        </w:rPr>
      </w:pPr>
      <w:r w:rsidRPr="00421B77">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421B77">
        <w:rPr>
          <w:rFonts w:ascii="Calibri" w:hAnsi="Calibri" w:cs="Arial"/>
          <w:color w:val="767171" w:themeColor="background2" w:themeShade="80"/>
          <w:sz w:val="26"/>
          <w:szCs w:val="26"/>
        </w:rPr>
        <w:t>. . . .</w:t>
      </w:r>
      <w:proofErr w:type="gramEnd"/>
      <w:r w:rsidRPr="00421B77">
        <w:rPr>
          <w:rFonts w:ascii="Calibri" w:hAnsi="Calibri" w:cs="Arial"/>
          <w:color w:val="767171" w:themeColor="background2" w:themeShade="80"/>
          <w:sz w:val="26"/>
          <w:szCs w:val="26"/>
        </w:rPr>
        <w:t xml:space="preserve"> . </w:t>
      </w:r>
    </w:p>
    <w:p w:rsidR="00B46241" w:rsidRPr="00421B77" w:rsidRDefault="00B46241" w:rsidP="00B46241">
      <w:pPr>
        <w:pStyle w:val="Textoindependiente"/>
        <w:rPr>
          <w:rFonts w:ascii="Calibri" w:hAnsi="Calibri" w:cs="Arial"/>
          <w:color w:val="767171" w:themeColor="background2" w:themeShade="80"/>
          <w:sz w:val="22"/>
          <w:szCs w:val="26"/>
        </w:rPr>
      </w:pPr>
    </w:p>
    <w:p w:rsidR="005321B8" w:rsidRDefault="00B46241" w:rsidP="00B46241">
      <w:r w:rsidRPr="00421B77">
        <w:rPr>
          <w:rFonts w:ascii="Calibri" w:hAnsi="Calibri"/>
          <w:color w:val="767171" w:themeColor="background2" w:themeShade="80"/>
          <w:sz w:val="26"/>
        </w:rPr>
        <w:t xml:space="preserve">Así lo resolvió y firma el Licenciado </w:t>
      </w:r>
      <w:r w:rsidRPr="00421B77">
        <w:rPr>
          <w:rFonts w:ascii="Calibri" w:hAnsi="Calibri"/>
          <w:b/>
          <w:bCs/>
          <w:color w:val="767171" w:themeColor="background2" w:themeShade="80"/>
          <w:sz w:val="26"/>
        </w:rPr>
        <w:t>Ernesto Alejandro Mora Álvarez</w:t>
      </w:r>
      <w:r w:rsidRPr="00421B77">
        <w:rPr>
          <w:rFonts w:ascii="Calibri" w:hAnsi="Calibri"/>
          <w:color w:val="767171" w:themeColor="background2" w:themeShade="80"/>
          <w:sz w:val="26"/>
        </w:rPr>
        <w:t xml:space="preserve">, Juez Segundo Administrativo Municipal de León, Guanajuato, quien actúa asistido en forma legal con Secretaria de Estudio y Cuenta, la Licenciada </w:t>
      </w:r>
      <w:r w:rsidRPr="00421B77">
        <w:rPr>
          <w:rFonts w:ascii="Calibri" w:hAnsi="Calibri"/>
          <w:b/>
          <w:bCs/>
          <w:color w:val="767171" w:themeColor="background2" w:themeShade="80"/>
          <w:sz w:val="26"/>
        </w:rPr>
        <w:t>María del Rocío Villanueva Sánchez</w:t>
      </w:r>
      <w:r w:rsidRPr="00421B77">
        <w:rPr>
          <w:rFonts w:ascii="Calibri" w:hAnsi="Calibri"/>
          <w:color w:val="767171" w:themeColor="background2" w:themeShade="80"/>
          <w:sz w:val="26"/>
        </w:rPr>
        <w:t xml:space="preserve">, quien da fe. . . . . . . . . . . . . . . . . . . . . . . . . . . . . . . . . . . . </w:t>
      </w:r>
      <w:proofErr w:type="gramStart"/>
      <w:r w:rsidRPr="00421B77">
        <w:rPr>
          <w:rFonts w:ascii="Calibri" w:hAnsi="Calibri"/>
          <w:color w:val="767171" w:themeColor="background2" w:themeShade="80"/>
          <w:sz w:val="26"/>
        </w:rPr>
        <w:t>. . . .</w:t>
      </w:r>
      <w:proofErr w:type="gramEnd"/>
      <w:r w:rsidRPr="00421B77">
        <w:rPr>
          <w:rFonts w:ascii="Calibri" w:hAnsi="Calibri"/>
          <w:color w:val="767171" w:themeColor="background2" w:themeShade="80"/>
          <w:sz w:val="26"/>
        </w:rPr>
        <w:t xml:space="preserve"> .</w:t>
      </w:r>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41"/>
    <w:rsid w:val="00927ED4"/>
    <w:rsid w:val="00B46241"/>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34E4E-E0D5-4564-9CE4-EC124710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4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4624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624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46241"/>
    <w:pPr>
      <w:jc w:val="both"/>
    </w:pPr>
    <w:rPr>
      <w:lang w:val="es-MX"/>
    </w:rPr>
  </w:style>
  <w:style w:type="character" w:customStyle="1" w:styleId="TextoindependienteCar">
    <w:name w:val="Texto independiente Car"/>
    <w:basedOn w:val="Fuentedeprrafopredeter"/>
    <w:link w:val="Textoindependiente"/>
    <w:rsid w:val="00B4624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B4624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B462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4624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46241"/>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3560</Words>
  <Characters>19585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2018-04-26T15:27:00Z</dcterms:created>
  <dcterms:modified xsi:type="dcterms:W3CDTF">2018-04-26T15:29:00Z</dcterms:modified>
</cp:coreProperties>
</file>